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452B" w:rsidRDefault="00FB7359">
      <w:pPr>
        <w:spacing w:after="0" w:line="259" w:lineRule="auto"/>
        <w:ind w:left="171" w:firstLine="0"/>
        <w:jc w:val="center"/>
      </w:pPr>
      <w:r>
        <w:rPr>
          <w:rFonts w:ascii="Cambria" w:eastAsia="Cambria" w:hAnsi="Cambria" w:cs="Cambria"/>
          <w:color w:val="17365D"/>
          <w:sz w:val="52"/>
        </w:rPr>
        <w:t>GENESYS/CHILDCARE CASE PROCESSING</w:t>
      </w:r>
      <w:r>
        <w:rPr>
          <w:rFonts w:ascii="Cambria" w:eastAsia="Cambria" w:hAnsi="Cambria" w:cs="Cambria"/>
          <w:sz w:val="52"/>
        </w:rPr>
        <w:t xml:space="preserve"> </w:t>
      </w:r>
    </w:p>
    <w:p w:rsidR="007C452B" w:rsidRDefault="00FB7359">
      <w:pPr>
        <w:spacing w:after="16" w:line="259" w:lineRule="auto"/>
        <w:ind w:left="0" w:right="-138" w:firstLine="0"/>
      </w:pPr>
      <w:r>
        <w:rPr>
          <w:rFonts w:ascii="Calibri" w:eastAsia="Calibri" w:hAnsi="Calibri" w:cs="Calibri"/>
          <w:sz w:val="13"/>
        </w:rPr>
        <w:t xml:space="preserve"> </w:t>
      </w:r>
      <w:r>
        <w:rPr>
          <w:rFonts w:ascii="Calibri" w:eastAsia="Calibri" w:hAnsi="Calibri" w:cs="Calibri"/>
          <w:noProof/>
          <w:sz w:val="22"/>
        </w:rPr>
        <mc:AlternateContent>
          <mc:Choice Requires="wpg">
            <w:drawing>
              <wp:inline distT="0" distB="0" distL="0" distR="0">
                <wp:extent cx="6896100" cy="13462"/>
                <wp:effectExtent l="0" t="0" r="0" b="0"/>
                <wp:docPr id="11075" name="Group 11075"/>
                <wp:cNvGraphicFramePr/>
                <a:graphic xmlns:a="http://schemas.openxmlformats.org/drawingml/2006/main">
                  <a:graphicData uri="http://schemas.microsoft.com/office/word/2010/wordprocessingGroup">
                    <wpg:wgp>
                      <wpg:cNvGrpSpPr/>
                      <wpg:grpSpPr>
                        <a:xfrm>
                          <a:off x="0" y="0"/>
                          <a:ext cx="6896100" cy="13462"/>
                          <a:chOff x="0" y="0"/>
                          <a:chExt cx="6896100" cy="13462"/>
                        </a:xfrm>
                      </wpg:grpSpPr>
                      <wps:wsp>
                        <wps:cNvPr id="6" name="Shape 6"/>
                        <wps:cNvSpPr/>
                        <wps:spPr>
                          <a:xfrm>
                            <a:off x="0" y="0"/>
                            <a:ext cx="6896100" cy="0"/>
                          </a:xfrm>
                          <a:custGeom>
                            <a:avLst/>
                            <a:gdLst/>
                            <a:ahLst/>
                            <a:cxnLst/>
                            <a:rect l="0" t="0" r="0" b="0"/>
                            <a:pathLst>
                              <a:path w="6896100">
                                <a:moveTo>
                                  <a:pt x="0" y="0"/>
                                </a:moveTo>
                                <a:lnTo>
                                  <a:pt x="6896100" y="0"/>
                                </a:lnTo>
                              </a:path>
                            </a:pathLst>
                          </a:custGeom>
                          <a:ln w="13462" cap="flat">
                            <a:round/>
                          </a:ln>
                        </wps:spPr>
                        <wps:style>
                          <a:lnRef idx="1">
                            <a:srgbClr val="4F81BC"/>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075" style="width:543pt;height:1.06pt;mso-position-horizontal-relative:char;mso-position-vertical-relative:line" coordsize="68961,134">
                <v:shape id="Shape 6" style="position:absolute;width:68961;height:0;left:0;top:0;" coordsize="6896100,0" path="m0,0l6896100,0">
                  <v:stroke weight="1.06pt" endcap="flat" joinstyle="round" on="true" color="#4f81bc"/>
                  <v:fill on="false" color="#000000" opacity="0"/>
                </v:shape>
              </v:group>
            </w:pict>
          </mc:Fallback>
        </mc:AlternateContent>
      </w:r>
    </w:p>
    <w:p w:rsidR="007C452B" w:rsidRDefault="00FB7359">
      <w:pPr>
        <w:spacing w:after="40" w:line="259" w:lineRule="auto"/>
        <w:ind w:left="0" w:firstLine="0"/>
      </w:pPr>
      <w:r>
        <w:rPr>
          <w:rFonts w:ascii="Calibri" w:eastAsia="Calibri" w:hAnsi="Calibri" w:cs="Calibri"/>
        </w:rPr>
        <w:t xml:space="preserve"> </w:t>
      </w:r>
    </w:p>
    <w:p w:rsidR="007C452B" w:rsidRDefault="00C95AE8">
      <w:pPr>
        <w:ind w:left="101" w:firstLine="0"/>
      </w:pPr>
      <w:r>
        <w:t>While taking Genesys</w:t>
      </w:r>
      <w:r w:rsidR="00FB7359">
        <w:t xml:space="preserve"> calls, note that CC applications, reviews, and/or authorizations must be completed in the customer’s county of residence. All consortium staff can look up eligibility policy to answer general eligibility questions that do not require worker</w:t>
      </w:r>
      <w:r>
        <w:t>s</w:t>
      </w:r>
      <w:r w:rsidR="00FB7359">
        <w:t xml:space="preserve"> to initiate the intake/rene</w:t>
      </w:r>
      <w:r w:rsidR="008E4EB5">
        <w:t>wal driver flow or make changes</w:t>
      </w:r>
      <w:r w:rsidR="00FB7359">
        <w:t xml:space="preserve"> to the authorization. </w:t>
      </w:r>
    </w:p>
    <w:p w:rsidR="007C452B" w:rsidRDefault="00FB7359">
      <w:pPr>
        <w:spacing w:after="0" w:line="259" w:lineRule="auto"/>
        <w:ind w:left="0" w:firstLine="0"/>
      </w:pPr>
      <w:r>
        <w:rPr>
          <w:rFonts w:ascii="Calibri" w:eastAsia="Calibri" w:hAnsi="Calibri" w:cs="Calibri"/>
          <w:sz w:val="28"/>
        </w:rPr>
        <w:t xml:space="preserve"> </w:t>
      </w:r>
    </w:p>
    <w:p w:rsidR="007C452B" w:rsidRDefault="00FB7359">
      <w:pPr>
        <w:spacing w:after="12" w:line="250" w:lineRule="auto"/>
        <w:ind w:left="96" w:hanging="10"/>
      </w:pPr>
      <w:r>
        <w:rPr>
          <w:b/>
          <w:color w:val="003366"/>
        </w:rPr>
        <w:t>Once you find out your caller does</w:t>
      </w:r>
      <w:r w:rsidR="00C95AE8">
        <w:rPr>
          <w:b/>
          <w:color w:val="003366"/>
        </w:rPr>
        <w:t xml:space="preserve"> no</w:t>
      </w:r>
      <w:r>
        <w:rPr>
          <w:b/>
          <w:color w:val="003366"/>
        </w:rPr>
        <w:t>t reside in your county and meets any of the situations below, follow these steps:</w:t>
      </w:r>
      <w:r>
        <w:t xml:space="preserve"> </w:t>
      </w:r>
    </w:p>
    <w:p w:rsidR="007C452B" w:rsidRDefault="00FB7359">
      <w:pPr>
        <w:spacing w:after="0" w:line="259" w:lineRule="auto"/>
        <w:ind w:left="0" w:firstLine="0"/>
      </w:pPr>
      <w:r>
        <w:rPr>
          <w:rFonts w:ascii="Calibri" w:eastAsia="Calibri" w:hAnsi="Calibri" w:cs="Calibri"/>
          <w:sz w:val="26"/>
        </w:rPr>
        <w:t xml:space="preserve"> </w:t>
      </w:r>
    </w:p>
    <w:p w:rsidR="007C452B" w:rsidRDefault="00FB7359">
      <w:pPr>
        <w:numPr>
          <w:ilvl w:val="0"/>
          <w:numId w:val="1"/>
        </w:numPr>
        <w:ind w:hanging="360"/>
      </w:pPr>
      <w:r>
        <w:rPr>
          <w:b/>
        </w:rPr>
        <w:t xml:space="preserve">Application intake </w:t>
      </w:r>
      <w:r>
        <w:t xml:space="preserve">- customer requested all programs including CC: </w:t>
      </w:r>
    </w:p>
    <w:p w:rsidR="007C452B" w:rsidRDefault="00FB7359">
      <w:pPr>
        <w:spacing w:after="0" w:line="259" w:lineRule="auto"/>
        <w:ind w:left="0" w:firstLine="0"/>
      </w:pPr>
      <w:r>
        <w:rPr>
          <w:rFonts w:ascii="Calibri" w:eastAsia="Calibri" w:hAnsi="Calibri" w:cs="Calibri"/>
          <w:sz w:val="24"/>
        </w:rPr>
        <w:t xml:space="preserve"> </w:t>
      </w:r>
    </w:p>
    <w:p w:rsidR="007C452B" w:rsidRDefault="00FB7359">
      <w:pPr>
        <w:numPr>
          <w:ilvl w:val="1"/>
          <w:numId w:val="1"/>
        </w:numPr>
        <w:ind w:hanging="360"/>
      </w:pPr>
      <w:r>
        <w:t xml:space="preserve">When you figure this out prior to beginning the RFA for program request, transfer the caller to the CC queue where the customer resides and inform them the CC interview is required to be done in county of residence. </w:t>
      </w:r>
    </w:p>
    <w:p w:rsidR="007C452B" w:rsidRDefault="00346AA1">
      <w:pPr>
        <w:numPr>
          <w:ilvl w:val="1"/>
          <w:numId w:val="1"/>
        </w:numPr>
        <w:spacing w:after="0" w:line="239" w:lineRule="auto"/>
        <w:ind w:hanging="360"/>
      </w:pPr>
      <w:r>
        <w:t>Intake already started and the c</w:t>
      </w:r>
      <w:r w:rsidR="00FB7359">
        <w:t>ustomer request</w:t>
      </w:r>
      <w:r w:rsidR="005023CC">
        <w:t>s</w:t>
      </w:r>
      <w:r w:rsidR="00FB7359">
        <w:t xml:space="preserve"> CC in the middle of intake. Finish your intake for all other programs except CC, and transfer the caller to the appropriate CC queue in the county where the customer resides. </w:t>
      </w:r>
    </w:p>
    <w:p w:rsidR="007C452B" w:rsidRDefault="00FB7359">
      <w:pPr>
        <w:spacing w:after="0" w:line="259" w:lineRule="auto"/>
        <w:ind w:left="0" w:firstLine="0"/>
      </w:pPr>
      <w:r>
        <w:rPr>
          <w:rFonts w:ascii="Calibri" w:eastAsia="Calibri" w:hAnsi="Calibri" w:cs="Calibri"/>
          <w:sz w:val="24"/>
        </w:rPr>
        <w:t xml:space="preserve"> </w:t>
      </w:r>
    </w:p>
    <w:p w:rsidR="007C452B" w:rsidRDefault="00FB7359">
      <w:pPr>
        <w:numPr>
          <w:ilvl w:val="0"/>
          <w:numId w:val="1"/>
        </w:numPr>
        <w:spacing w:after="3" w:line="259" w:lineRule="auto"/>
        <w:ind w:hanging="360"/>
      </w:pPr>
      <w:r>
        <w:rPr>
          <w:b/>
        </w:rPr>
        <w:t>Renewal –</w:t>
      </w:r>
      <w:r>
        <w:t xml:space="preserve"> </w:t>
      </w:r>
    </w:p>
    <w:p w:rsidR="007C452B" w:rsidRDefault="00FB7359">
      <w:pPr>
        <w:numPr>
          <w:ilvl w:val="1"/>
          <w:numId w:val="1"/>
        </w:numPr>
        <w:spacing w:after="34" w:line="239" w:lineRule="auto"/>
        <w:ind w:hanging="360"/>
      </w:pPr>
      <w:r>
        <w:t>Prior to renewal drive</w:t>
      </w:r>
      <w:r w:rsidR="005023CC">
        <w:t>r</w:t>
      </w:r>
      <w:r>
        <w:t xml:space="preserve"> flow begin</w:t>
      </w:r>
      <w:r w:rsidR="005023CC">
        <w:t>ning</w:t>
      </w:r>
      <w:r>
        <w:t xml:space="preserve">, you realize the caller does not reside in your county but has all programs open including having a CC renewal due. Transfer this caller to the appropriate CC queue where the customer resides. </w:t>
      </w:r>
    </w:p>
    <w:p w:rsidR="007C452B" w:rsidRDefault="00FB7359">
      <w:pPr>
        <w:numPr>
          <w:ilvl w:val="1"/>
          <w:numId w:val="1"/>
        </w:numPr>
        <w:spacing w:after="0" w:line="239" w:lineRule="auto"/>
        <w:ind w:hanging="360"/>
      </w:pPr>
      <w:r>
        <w:t>When the renewal driver fl</w:t>
      </w:r>
      <w:r w:rsidR="005023CC">
        <w:t xml:space="preserve">ow has already begun, </w:t>
      </w:r>
      <w:r w:rsidR="00346AA1">
        <w:t xml:space="preserve">and </w:t>
      </w:r>
      <w:r w:rsidR="005023CC">
        <w:t>the c</w:t>
      </w:r>
      <w:r>
        <w:t>aller</w:t>
      </w:r>
      <w:r w:rsidR="005023CC">
        <w:t xml:space="preserve"> is requesting CC. </w:t>
      </w:r>
      <w:r>
        <w:t xml:space="preserve">Finish your renewal for all the programs except CC, and then transfer the caller to the appropriate CC queue where the customer resides. </w:t>
      </w:r>
    </w:p>
    <w:p w:rsidR="007C452B" w:rsidRDefault="00FB7359">
      <w:pPr>
        <w:spacing w:after="0" w:line="259" w:lineRule="auto"/>
        <w:ind w:left="0" w:firstLine="0"/>
      </w:pPr>
      <w:r>
        <w:rPr>
          <w:rFonts w:ascii="Calibri" w:eastAsia="Calibri" w:hAnsi="Calibri" w:cs="Calibri"/>
          <w:sz w:val="24"/>
        </w:rPr>
        <w:t xml:space="preserve"> </w:t>
      </w:r>
    </w:p>
    <w:p w:rsidR="007C452B" w:rsidRDefault="00FB7359">
      <w:pPr>
        <w:numPr>
          <w:ilvl w:val="0"/>
          <w:numId w:val="1"/>
        </w:numPr>
        <w:spacing w:after="3" w:line="259" w:lineRule="auto"/>
        <w:ind w:hanging="360"/>
      </w:pPr>
      <w:r>
        <w:rPr>
          <w:b/>
        </w:rPr>
        <w:t>Change Reporting –</w:t>
      </w:r>
      <w:r>
        <w:t xml:space="preserve"> </w:t>
      </w:r>
    </w:p>
    <w:p w:rsidR="007C452B" w:rsidRDefault="00FB7359">
      <w:pPr>
        <w:spacing w:after="0" w:line="239" w:lineRule="auto"/>
        <w:ind w:left="1541" w:right="127" w:firstLine="0"/>
        <w:jc w:val="both"/>
      </w:pPr>
      <w:r>
        <w:t>CC change reporting can be process</w:t>
      </w:r>
      <w:r w:rsidR="005023CC">
        <w:t>ed</w:t>
      </w:r>
      <w:r w:rsidR="00346AA1">
        <w:t xml:space="preserve"> by any Genesys</w:t>
      </w:r>
      <w:r>
        <w:t xml:space="preserve"> worker. Once the changes are processed that affect the CC authorization and the customer resides in a partner county, transfer the caller to the appropriate CC queue where the customer resides to finish their CC business. </w:t>
      </w:r>
    </w:p>
    <w:p w:rsidR="007C452B" w:rsidRDefault="00FB7359">
      <w:pPr>
        <w:spacing w:after="0" w:line="259" w:lineRule="auto"/>
        <w:ind w:left="0" w:firstLine="0"/>
      </w:pPr>
      <w:r>
        <w:rPr>
          <w:rFonts w:ascii="Calibri" w:eastAsia="Calibri" w:hAnsi="Calibri" w:cs="Calibri"/>
        </w:rPr>
        <w:t xml:space="preserve"> </w:t>
      </w:r>
    </w:p>
    <w:p w:rsidR="007C452B" w:rsidRDefault="00FB7359">
      <w:pPr>
        <w:spacing w:after="0" w:line="259" w:lineRule="auto"/>
        <w:ind w:left="0" w:firstLine="0"/>
      </w:pPr>
      <w:r>
        <w:rPr>
          <w:rFonts w:ascii="Calibri" w:eastAsia="Calibri" w:hAnsi="Calibri" w:cs="Calibri"/>
          <w:sz w:val="28"/>
        </w:rPr>
        <w:t xml:space="preserve"> </w:t>
      </w:r>
    </w:p>
    <w:p w:rsidR="0081634F" w:rsidRDefault="00FB7359">
      <w:pPr>
        <w:numPr>
          <w:ilvl w:val="0"/>
          <w:numId w:val="1"/>
        </w:numPr>
        <w:ind w:hanging="360"/>
      </w:pPr>
      <w:r>
        <w:rPr>
          <w:b/>
        </w:rPr>
        <w:t xml:space="preserve">All Other </w:t>
      </w:r>
      <w:r w:rsidR="005023CC">
        <w:t xml:space="preserve">- </w:t>
      </w:r>
    </w:p>
    <w:p w:rsidR="007C452B" w:rsidRDefault="005023CC" w:rsidP="0081634F">
      <w:pPr>
        <w:ind w:left="1440" w:firstLine="0"/>
      </w:pPr>
      <w:r>
        <w:t>If you already bega</w:t>
      </w:r>
      <w:r w:rsidR="00FB7359">
        <w:t>n intake/renewal/changes</w:t>
      </w:r>
      <w:r w:rsidR="005E092D">
        <w:t>,</w:t>
      </w:r>
      <w:r w:rsidR="00FB7359">
        <w:t xml:space="preserve"> and due to </w:t>
      </w:r>
      <w:r w:rsidR="00346AA1">
        <w:t xml:space="preserve">the </w:t>
      </w:r>
      <w:r w:rsidR="00FB7359">
        <w:t>customer’s phone limitation</w:t>
      </w:r>
      <w:r>
        <w:t>s</w:t>
      </w:r>
      <w:r w:rsidR="00FB7359">
        <w:t xml:space="preserve"> or other circumstances</w:t>
      </w:r>
      <w:r>
        <w:t>,</w:t>
      </w:r>
      <w:r w:rsidR="00FB7359">
        <w:t xml:space="preserve"> they are no longer able to hold for the appropriate county of residence to finish their CC business, finish processing the case for all IM programs. Gather the following information to </w:t>
      </w:r>
      <w:r w:rsidR="005E092D">
        <w:t xml:space="preserve">email the appropriate </w:t>
      </w:r>
      <w:r w:rsidR="00FB7359">
        <w:t xml:space="preserve">county of residence: </w:t>
      </w:r>
    </w:p>
    <w:p w:rsidR="007C452B" w:rsidRDefault="00FB7359" w:rsidP="0081634F">
      <w:pPr>
        <w:numPr>
          <w:ilvl w:val="2"/>
          <w:numId w:val="1"/>
        </w:numPr>
        <w:spacing w:after="4" w:line="259" w:lineRule="auto"/>
        <w:ind w:hanging="360"/>
      </w:pPr>
      <w:r>
        <w:t xml:space="preserve">Email the Capital Leads email at: </w:t>
      </w:r>
      <w:r>
        <w:rPr>
          <w:color w:val="0000FF"/>
          <w:u w:val="single" w:color="0000FF"/>
        </w:rPr>
        <w:t>HSEACapitalLeads@countyofdane.com</w:t>
      </w:r>
      <w:r>
        <w:t xml:space="preserve"> </w:t>
      </w:r>
    </w:p>
    <w:p w:rsidR="007C452B" w:rsidRDefault="00FB7359" w:rsidP="0081634F">
      <w:pPr>
        <w:numPr>
          <w:ilvl w:val="2"/>
          <w:numId w:val="1"/>
        </w:numPr>
        <w:ind w:hanging="360"/>
      </w:pPr>
      <w:r>
        <w:t xml:space="preserve">Email subject line: CC and county name (CC/Sauk) </w:t>
      </w:r>
    </w:p>
    <w:p w:rsidR="007C452B" w:rsidRDefault="00FB7359" w:rsidP="0081634F">
      <w:pPr>
        <w:numPr>
          <w:ilvl w:val="2"/>
          <w:numId w:val="1"/>
        </w:numPr>
        <w:ind w:hanging="360"/>
      </w:pPr>
      <w:r>
        <w:t xml:space="preserve">Email message: Case number, brief information on action needed related to CC. </w:t>
      </w:r>
    </w:p>
    <w:p w:rsidR="007C452B" w:rsidRDefault="00FB7359">
      <w:pPr>
        <w:spacing w:after="0" w:line="259" w:lineRule="auto"/>
        <w:ind w:left="0" w:firstLine="0"/>
      </w:pPr>
      <w:r>
        <w:rPr>
          <w:rFonts w:ascii="Calibri" w:eastAsia="Calibri" w:hAnsi="Calibri" w:cs="Calibri"/>
          <w:sz w:val="18"/>
        </w:rPr>
        <w:t xml:space="preserve"> </w:t>
      </w:r>
    </w:p>
    <w:p w:rsidR="007C452B" w:rsidRDefault="00FB7359">
      <w:pPr>
        <w:spacing w:after="0" w:line="259" w:lineRule="auto"/>
        <w:ind w:left="0" w:firstLine="0"/>
      </w:pPr>
      <w:r>
        <w:rPr>
          <w:rFonts w:ascii="Calibri" w:eastAsia="Calibri" w:hAnsi="Calibri" w:cs="Calibri"/>
        </w:rPr>
        <w:t xml:space="preserve"> </w:t>
      </w:r>
    </w:p>
    <w:p w:rsidR="007C452B" w:rsidRDefault="00FB7359">
      <w:pPr>
        <w:spacing w:after="0" w:line="259" w:lineRule="auto"/>
        <w:ind w:left="0" w:firstLine="0"/>
      </w:pPr>
      <w:r>
        <w:rPr>
          <w:rFonts w:ascii="Calibri" w:eastAsia="Calibri" w:hAnsi="Calibri" w:cs="Calibri"/>
        </w:rPr>
        <w:t xml:space="preserve"> </w:t>
      </w:r>
    </w:p>
    <w:p w:rsidR="007C452B" w:rsidRDefault="00FB7359">
      <w:pPr>
        <w:spacing w:after="0" w:line="259" w:lineRule="auto"/>
        <w:ind w:left="0" w:firstLine="0"/>
      </w:pPr>
      <w:r>
        <w:rPr>
          <w:rFonts w:ascii="Calibri" w:eastAsia="Calibri" w:hAnsi="Calibri" w:cs="Calibri"/>
        </w:rPr>
        <w:t xml:space="preserve"> </w:t>
      </w:r>
    </w:p>
    <w:p w:rsidR="007C452B" w:rsidRDefault="00FB7359">
      <w:pPr>
        <w:spacing w:after="0" w:line="259" w:lineRule="auto"/>
        <w:ind w:left="0" w:firstLine="0"/>
      </w:pPr>
      <w:r>
        <w:rPr>
          <w:rFonts w:ascii="Calibri" w:eastAsia="Calibri" w:hAnsi="Calibri" w:cs="Calibri"/>
        </w:rPr>
        <w:t xml:space="preserve"> </w:t>
      </w:r>
    </w:p>
    <w:p w:rsidR="007C452B" w:rsidRDefault="00FB7359">
      <w:pPr>
        <w:spacing w:after="0" w:line="259" w:lineRule="auto"/>
        <w:ind w:left="0" w:firstLine="0"/>
      </w:pPr>
      <w:r>
        <w:rPr>
          <w:rFonts w:ascii="Calibri" w:eastAsia="Calibri" w:hAnsi="Calibri" w:cs="Calibri"/>
        </w:rPr>
        <w:t xml:space="preserve"> </w:t>
      </w:r>
    </w:p>
    <w:p w:rsidR="007C452B" w:rsidRDefault="00FB7359">
      <w:pPr>
        <w:spacing w:after="0" w:line="259" w:lineRule="auto"/>
        <w:ind w:left="0" w:firstLine="0"/>
      </w:pPr>
      <w:r>
        <w:rPr>
          <w:rFonts w:ascii="Calibri" w:eastAsia="Calibri" w:hAnsi="Calibri" w:cs="Calibri"/>
        </w:rPr>
        <w:t xml:space="preserve"> </w:t>
      </w:r>
    </w:p>
    <w:p w:rsidR="007C452B" w:rsidRDefault="00FB7359">
      <w:pPr>
        <w:spacing w:after="0" w:line="259" w:lineRule="auto"/>
        <w:ind w:left="0" w:firstLine="0"/>
      </w:pPr>
      <w:r>
        <w:rPr>
          <w:rFonts w:ascii="Calibri" w:eastAsia="Calibri" w:hAnsi="Calibri" w:cs="Calibri"/>
        </w:rPr>
        <w:t xml:space="preserve"> </w:t>
      </w:r>
    </w:p>
    <w:p w:rsidR="007C452B" w:rsidRDefault="00FB7359">
      <w:pPr>
        <w:spacing w:after="0" w:line="259" w:lineRule="auto"/>
        <w:ind w:left="0" w:firstLine="0"/>
      </w:pPr>
      <w:r>
        <w:rPr>
          <w:rFonts w:ascii="Calibri" w:eastAsia="Calibri" w:hAnsi="Calibri" w:cs="Calibri"/>
        </w:rPr>
        <w:t xml:space="preserve"> </w:t>
      </w:r>
    </w:p>
    <w:p w:rsidR="007C452B" w:rsidRDefault="00FB7359">
      <w:pPr>
        <w:spacing w:after="0" w:line="259" w:lineRule="auto"/>
        <w:ind w:left="0" w:firstLine="0"/>
      </w:pPr>
      <w:r>
        <w:rPr>
          <w:rFonts w:ascii="Calibri" w:eastAsia="Calibri" w:hAnsi="Calibri" w:cs="Calibri"/>
        </w:rPr>
        <w:lastRenderedPageBreak/>
        <w:t xml:space="preserve"> </w:t>
      </w:r>
    </w:p>
    <w:p w:rsidR="007C452B" w:rsidRDefault="00FB7359">
      <w:pPr>
        <w:spacing w:after="0" w:line="259" w:lineRule="auto"/>
        <w:ind w:left="0" w:firstLine="0"/>
      </w:pPr>
      <w:r>
        <w:rPr>
          <w:rFonts w:ascii="Calibri" w:eastAsia="Calibri" w:hAnsi="Calibri" w:cs="Calibri"/>
        </w:rPr>
        <w:t xml:space="preserve"> </w:t>
      </w:r>
    </w:p>
    <w:p w:rsidR="007C452B" w:rsidRDefault="00FB7359">
      <w:pPr>
        <w:pStyle w:val="Heading1"/>
        <w:ind w:left="96"/>
      </w:pPr>
      <w:r>
        <w:t>Capital Lead Worker in County of Residence</w:t>
      </w:r>
      <w:r>
        <w:rPr>
          <w:b w:val="0"/>
          <w:color w:val="000000"/>
        </w:rPr>
        <w:t xml:space="preserve"> </w:t>
      </w:r>
    </w:p>
    <w:p w:rsidR="007C452B" w:rsidRDefault="00FB7359">
      <w:pPr>
        <w:numPr>
          <w:ilvl w:val="0"/>
          <w:numId w:val="2"/>
        </w:numPr>
        <w:ind w:hanging="360"/>
      </w:pPr>
      <w:r>
        <w:t>The Capital Lead worker from the county identified in the email subject line will select a wo</w:t>
      </w:r>
      <w:r w:rsidR="00346AA1">
        <w:t>rker in their county (during Genesys</w:t>
      </w:r>
      <w:r>
        <w:t xml:space="preserve"> time) to act on the case and will forward the o</w:t>
      </w:r>
      <w:r w:rsidR="005023CC">
        <w:t>riginal email. For Dane, the lobby</w:t>
      </w:r>
      <w:r>
        <w:t xml:space="preserve"> lead is the one to take action seeking assistance</w:t>
      </w:r>
      <w:r w:rsidR="00346AA1">
        <w:t xml:space="preserve"> from the Dane staff (during Genesys</w:t>
      </w:r>
      <w:r>
        <w:t xml:space="preserve"> time) to process the CC case. </w:t>
      </w:r>
    </w:p>
    <w:p w:rsidR="007C452B" w:rsidRDefault="00896700">
      <w:pPr>
        <w:numPr>
          <w:ilvl w:val="0"/>
          <w:numId w:val="2"/>
        </w:numPr>
        <w:ind w:hanging="360"/>
      </w:pPr>
      <w:r>
        <w:t>The Capital L</w:t>
      </w:r>
      <w:r w:rsidR="00FB7359">
        <w:t>ead worker from the county of residence must “reply all” to the Cap</w:t>
      </w:r>
      <w:r>
        <w:t>ital L</w:t>
      </w:r>
      <w:r w:rsidR="00FB7359">
        <w:t xml:space="preserve">ead email to confirm that someone in that county of residence will take action on the email. </w:t>
      </w:r>
    </w:p>
    <w:p w:rsidR="005023CC" w:rsidRDefault="005023CC">
      <w:pPr>
        <w:pStyle w:val="Heading1"/>
        <w:ind w:left="96"/>
      </w:pPr>
    </w:p>
    <w:p w:rsidR="007C452B" w:rsidRDefault="00FB7359">
      <w:pPr>
        <w:pStyle w:val="Heading1"/>
        <w:ind w:left="96"/>
      </w:pPr>
      <w:r>
        <w:t>Case Worker in County of Residence Who Receives the Email</w:t>
      </w:r>
      <w:r>
        <w:rPr>
          <w:b w:val="0"/>
          <w:color w:val="000000"/>
        </w:rPr>
        <w:t xml:space="preserve"> </w:t>
      </w:r>
    </w:p>
    <w:p w:rsidR="007C452B" w:rsidRDefault="00FB7359">
      <w:pPr>
        <w:spacing w:after="0" w:line="259" w:lineRule="auto"/>
        <w:ind w:left="0" w:firstLine="0"/>
      </w:pPr>
      <w:r>
        <w:rPr>
          <w:rFonts w:ascii="Calibri" w:eastAsia="Calibri" w:hAnsi="Calibri" w:cs="Calibri"/>
          <w:sz w:val="24"/>
        </w:rPr>
        <w:t xml:space="preserve"> </w:t>
      </w:r>
    </w:p>
    <w:p w:rsidR="007C452B" w:rsidRDefault="00FB7359" w:rsidP="00896700">
      <w:pPr>
        <w:spacing w:after="0"/>
        <w:ind w:left="720" w:firstLine="0"/>
      </w:pPr>
      <w:r>
        <w:t>The worker in the county of residence must process the CC related information received from Ca</w:t>
      </w:r>
      <w:r w:rsidR="00896700">
        <w:t>pital L</w:t>
      </w:r>
      <w:r>
        <w:t>ead wit</w:t>
      </w:r>
      <w:r w:rsidR="00346AA1">
        <w:t>hin 24 hours during their Genesys</w:t>
      </w:r>
      <w:r>
        <w:t xml:space="preserve"> time for all changes reported, intake or renewal call back</w:t>
      </w:r>
      <w:r w:rsidR="005023CC">
        <w:t>s</w:t>
      </w:r>
      <w:r>
        <w:t xml:space="preserve">. </w:t>
      </w:r>
    </w:p>
    <w:p w:rsidR="007C452B" w:rsidRDefault="00FB7359">
      <w:pPr>
        <w:spacing w:after="0" w:line="259" w:lineRule="auto"/>
        <w:ind w:left="0" w:firstLine="0"/>
      </w:pPr>
      <w:r>
        <w:rPr>
          <w:rFonts w:ascii="Calibri" w:eastAsia="Calibri" w:hAnsi="Calibri" w:cs="Calibri"/>
          <w:sz w:val="22"/>
        </w:rPr>
        <w:t xml:space="preserve"> </w:t>
      </w:r>
    </w:p>
    <w:p w:rsidR="007C452B" w:rsidRDefault="007C452B" w:rsidP="00BB49CB">
      <w:pPr>
        <w:ind w:left="592" w:right="25" w:firstLine="0"/>
      </w:pPr>
    </w:p>
    <w:p w:rsidR="008E4EB5" w:rsidRDefault="008E4EB5" w:rsidP="00BB49CB">
      <w:pPr>
        <w:ind w:left="592" w:right="25" w:firstLine="0"/>
      </w:pPr>
    </w:p>
    <w:p w:rsidR="008E4EB5" w:rsidRDefault="008E4EB5" w:rsidP="00BB49CB">
      <w:pPr>
        <w:ind w:left="592" w:right="25" w:firstLine="0"/>
      </w:pPr>
    </w:p>
    <w:p w:rsidR="008E4EB5" w:rsidRDefault="008E4EB5" w:rsidP="00BB49CB">
      <w:pPr>
        <w:ind w:left="592" w:right="25" w:firstLine="0"/>
      </w:pPr>
    </w:p>
    <w:p w:rsidR="008E4EB5" w:rsidRDefault="008E4EB5" w:rsidP="00BB49CB">
      <w:pPr>
        <w:ind w:left="592" w:right="25" w:firstLine="0"/>
      </w:pPr>
    </w:p>
    <w:p w:rsidR="008E4EB5" w:rsidRDefault="008E4EB5" w:rsidP="00BB49CB">
      <w:pPr>
        <w:ind w:left="592" w:right="25" w:firstLine="0"/>
      </w:pPr>
    </w:p>
    <w:p w:rsidR="008E4EB5" w:rsidRDefault="008E4EB5" w:rsidP="00BB49CB">
      <w:pPr>
        <w:ind w:left="592" w:right="25" w:firstLine="0"/>
      </w:pPr>
    </w:p>
    <w:p w:rsidR="008E4EB5" w:rsidRDefault="008E4EB5" w:rsidP="00BB49CB">
      <w:pPr>
        <w:ind w:left="592" w:right="25" w:firstLine="0"/>
      </w:pPr>
    </w:p>
    <w:p w:rsidR="008E4EB5" w:rsidRDefault="008E4EB5" w:rsidP="00BB49CB">
      <w:pPr>
        <w:ind w:left="592" w:right="25" w:firstLine="0"/>
      </w:pPr>
    </w:p>
    <w:p w:rsidR="008E4EB5" w:rsidRDefault="008E4EB5" w:rsidP="00BB49CB">
      <w:pPr>
        <w:ind w:left="592" w:right="25" w:firstLine="0"/>
      </w:pPr>
    </w:p>
    <w:p w:rsidR="008E4EB5" w:rsidRDefault="008E4EB5" w:rsidP="00BB49CB">
      <w:pPr>
        <w:ind w:left="592" w:right="25" w:firstLine="0"/>
      </w:pPr>
    </w:p>
    <w:p w:rsidR="008E4EB5" w:rsidRDefault="008E4EB5" w:rsidP="00BB49CB">
      <w:pPr>
        <w:ind w:left="592" w:right="25" w:firstLine="0"/>
      </w:pPr>
    </w:p>
    <w:p w:rsidR="008E4EB5" w:rsidRDefault="008E4EB5" w:rsidP="00BB49CB">
      <w:pPr>
        <w:ind w:left="592" w:right="25" w:firstLine="0"/>
      </w:pPr>
    </w:p>
    <w:p w:rsidR="008E4EB5" w:rsidRDefault="008E4EB5" w:rsidP="00BB49CB">
      <w:pPr>
        <w:ind w:left="592" w:right="25" w:firstLine="0"/>
      </w:pPr>
    </w:p>
    <w:p w:rsidR="008E4EB5" w:rsidRDefault="008E4EB5" w:rsidP="00BB49CB">
      <w:pPr>
        <w:ind w:left="592" w:right="25" w:firstLine="0"/>
      </w:pPr>
    </w:p>
    <w:p w:rsidR="008E4EB5" w:rsidRDefault="008E4EB5" w:rsidP="00BB49CB">
      <w:pPr>
        <w:ind w:left="592" w:right="25" w:firstLine="0"/>
      </w:pPr>
    </w:p>
    <w:p w:rsidR="008E4EB5" w:rsidRDefault="008E4EB5" w:rsidP="00BB49CB">
      <w:pPr>
        <w:ind w:left="592" w:right="25" w:firstLine="0"/>
      </w:pPr>
    </w:p>
    <w:p w:rsidR="008E4EB5" w:rsidRDefault="008E4EB5" w:rsidP="00BB49CB">
      <w:pPr>
        <w:ind w:left="592" w:right="25" w:firstLine="0"/>
      </w:pPr>
    </w:p>
    <w:p w:rsidR="008E4EB5" w:rsidRDefault="008E4EB5" w:rsidP="00BB49CB">
      <w:pPr>
        <w:ind w:left="592" w:right="25" w:firstLine="0"/>
      </w:pPr>
    </w:p>
    <w:p w:rsidR="008E4EB5" w:rsidRDefault="008E4EB5" w:rsidP="00BB49CB">
      <w:pPr>
        <w:ind w:left="592" w:right="25" w:firstLine="0"/>
      </w:pPr>
    </w:p>
    <w:p w:rsidR="008E4EB5" w:rsidRDefault="008E4EB5" w:rsidP="00BB49CB">
      <w:pPr>
        <w:ind w:left="592" w:right="25" w:firstLine="0"/>
      </w:pPr>
    </w:p>
    <w:p w:rsidR="008E4EB5" w:rsidRDefault="008E4EB5" w:rsidP="00BB49CB">
      <w:pPr>
        <w:ind w:left="592" w:right="25" w:firstLine="0"/>
      </w:pPr>
    </w:p>
    <w:p w:rsidR="008E4EB5" w:rsidRDefault="008E4EB5" w:rsidP="00BB49CB">
      <w:pPr>
        <w:ind w:left="592" w:right="25" w:firstLine="0"/>
      </w:pPr>
    </w:p>
    <w:p w:rsidR="008E4EB5" w:rsidRDefault="008E4EB5" w:rsidP="00BB49CB">
      <w:pPr>
        <w:ind w:left="592" w:right="25" w:firstLine="0"/>
      </w:pPr>
    </w:p>
    <w:p w:rsidR="008E4EB5" w:rsidRDefault="008E4EB5" w:rsidP="00BB49CB">
      <w:pPr>
        <w:ind w:left="592" w:right="25" w:firstLine="0"/>
      </w:pPr>
    </w:p>
    <w:p w:rsidR="008E4EB5" w:rsidRDefault="008E4EB5" w:rsidP="00BB49CB">
      <w:pPr>
        <w:ind w:left="592" w:right="25" w:firstLine="0"/>
      </w:pPr>
    </w:p>
    <w:p w:rsidR="008E4EB5" w:rsidRDefault="008E4EB5" w:rsidP="00BB49CB">
      <w:pPr>
        <w:ind w:left="592" w:right="25" w:firstLine="0"/>
      </w:pPr>
    </w:p>
    <w:p w:rsidR="008E4EB5" w:rsidRDefault="008E4EB5" w:rsidP="00BB49CB">
      <w:pPr>
        <w:ind w:left="592" w:right="25" w:firstLine="0"/>
      </w:pPr>
    </w:p>
    <w:p w:rsidR="008E4EB5" w:rsidRDefault="008E4EB5" w:rsidP="00BB49CB">
      <w:pPr>
        <w:ind w:left="592" w:right="25" w:firstLine="0"/>
      </w:pPr>
    </w:p>
    <w:p w:rsidR="008E4EB5" w:rsidRDefault="008E4EB5" w:rsidP="00BB49CB">
      <w:pPr>
        <w:ind w:left="592" w:right="25" w:firstLine="0"/>
      </w:pPr>
    </w:p>
    <w:p w:rsidR="008E4EB5" w:rsidRDefault="008E4EB5" w:rsidP="00BB49CB">
      <w:pPr>
        <w:ind w:left="592" w:right="25" w:firstLine="0"/>
      </w:pPr>
    </w:p>
    <w:p w:rsidR="008E4EB5" w:rsidRDefault="008E4EB5" w:rsidP="00BB49CB">
      <w:pPr>
        <w:ind w:left="592" w:right="25" w:firstLine="0"/>
      </w:pPr>
    </w:p>
    <w:p w:rsidR="008E4EB5" w:rsidRDefault="008E4EB5" w:rsidP="00BB49CB">
      <w:pPr>
        <w:ind w:left="592" w:right="25" w:firstLine="0"/>
      </w:pPr>
    </w:p>
    <w:p w:rsidR="008E4EB5" w:rsidRDefault="008E4EB5" w:rsidP="00BB49CB">
      <w:pPr>
        <w:ind w:left="592" w:right="25" w:firstLine="0"/>
      </w:pPr>
    </w:p>
    <w:p w:rsidR="008E4EB5" w:rsidRDefault="008E4EB5" w:rsidP="00BB49CB">
      <w:pPr>
        <w:ind w:left="592" w:right="25" w:firstLine="0"/>
      </w:pPr>
    </w:p>
    <w:p w:rsidR="008E4EB5" w:rsidRDefault="008E4EB5" w:rsidP="008926EB">
      <w:pPr>
        <w:ind w:left="7200" w:right="25" w:firstLine="720"/>
      </w:pPr>
      <w:bookmarkStart w:id="0" w:name="_GoBack"/>
      <w:bookmarkEnd w:id="0"/>
      <w:r>
        <w:t>Updated 11-23-21</w:t>
      </w:r>
    </w:p>
    <w:sectPr w:rsidR="008E4EB5">
      <w:pgSz w:w="12240" w:h="15840"/>
      <w:pgMar w:top="809" w:right="827" w:bottom="919" w:left="6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145D5"/>
    <w:multiLevelType w:val="hybridMultilevel"/>
    <w:tmpl w:val="77DEE98E"/>
    <w:lvl w:ilvl="0" w:tplc="A0F8EF34">
      <w:start w:val="1"/>
      <w:numFmt w:val="decimal"/>
      <w:lvlText w:val="%1."/>
      <w:lvlJc w:val="left"/>
      <w:pPr>
        <w:ind w:left="5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473E8D0A">
      <w:start w:val="1"/>
      <w:numFmt w:val="lowerLetter"/>
      <w:lvlText w:val="%2"/>
      <w:lvlJc w:val="left"/>
      <w:pPr>
        <w:ind w:left="15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58E8161C">
      <w:start w:val="1"/>
      <w:numFmt w:val="lowerRoman"/>
      <w:lvlText w:val="%3"/>
      <w:lvlJc w:val="left"/>
      <w:pPr>
        <w:ind w:left="225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72605870">
      <w:start w:val="1"/>
      <w:numFmt w:val="decimal"/>
      <w:lvlText w:val="%4"/>
      <w:lvlJc w:val="left"/>
      <w:pPr>
        <w:ind w:left="297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1D0A6BF6">
      <w:start w:val="1"/>
      <w:numFmt w:val="lowerLetter"/>
      <w:lvlText w:val="%5"/>
      <w:lvlJc w:val="left"/>
      <w:pPr>
        <w:ind w:left="369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52284578">
      <w:start w:val="1"/>
      <w:numFmt w:val="lowerRoman"/>
      <w:lvlText w:val="%6"/>
      <w:lvlJc w:val="left"/>
      <w:pPr>
        <w:ind w:left="44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8804A716">
      <w:start w:val="1"/>
      <w:numFmt w:val="decimal"/>
      <w:lvlText w:val="%7"/>
      <w:lvlJc w:val="left"/>
      <w:pPr>
        <w:ind w:left="51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77B03A92">
      <w:start w:val="1"/>
      <w:numFmt w:val="lowerLetter"/>
      <w:lvlText w:val="%8"/>
      <w:lvlJc w:val="left"/>
      <w:pPr>
        <w:ind w:left="585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67523540">
      <w:start w:val="1"/>
      <w:numFmt w:val="lowerRoman"/>
      <w:lvlText w:val="%9"/>
      <w:lvlJc w:val="left"/>
      <w:pPr>
        <w:ind w:left="657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304B6D47"/>
    <w:multiLevelType w:val="hybridMultilevel"/>
    <w:tmpl w:val="EF485C02"/>
    <w:lvl w:ilvl="0" w:tplc="6DB64612">
      <w:start w:val="1"/>
      <w:numFmt w:val="decimal"/>
      <w:lvlText w:val="%1."/>
      <w:lvlJc w:val="left"/>
      <w:pPr>
        <w:ind w:left="117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AA98FEA6">
      <w:start w:val="1"/>
      <w:numFmt w:val="lowerLetter"/>
      <w:lvlText w:val="%2."/>
      <w:lvlJc w:val="left"/>
      <w:pPr>
        <w:ind w:left="152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409000B">
      <w:start w:val="1"/>
      <w:numFmt w:val="bullet"/>
      <w:lvlText w:val=""/>
      <w:lvlJc w:val="left"/>
      <w:pPr>
        <w:ind w:left="2261"/>
      </w:pPr>
      <w:rPr>
        <w:rFonts w:ascii="Wingdings" w:hAnsi="Wingdings" w:hint="default"/>
        <w:b w:val="0"/>
        <w:i w:val="0"/>
        <w:strike w:val="0"/>
        <w:dstrike w:val="0"/>
        <w:color w:val="000000"/>
        <w:sz w:val="20"/>
        <w:szCs w:val="20"/>
        <w:u w:val="none" w:color="000000"/>
        <w:bdr w:val="none" w:sz="0" w:space="0" w:color="auto"/>
        <w:shd w:val="clear" w:color="auto" w:fill="auto"/>
        <w:vertAlign w:val="baseline"/>
      </w:rPr>
    </w:lvl>
    <w:lvl w:ilvl="3" w:tplc="93F0C0F2">
      <w:start w:val="1"/>
      <w:numFmt w:val="decimal"/>
      <w:lvlText w:val="%4"/>
      <w:lvlJc w:val="left"/>
      <w:pPr>
        <w:ind w:left="298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7848F23A">
      <w:start w:val="1"/>
      <w:numFmt w:val="lowerLetter"/>
      <w:lvlText w:val="%5"/>
      <w:lvlJc w:val="left"/>
      <w:pPr>
        <w:ind w:left="370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59D227F8">
      <w:start w:val="1"/>
      <w:numFmt w:val="lowerRoman"/>
      <w:lvlText w:val="%6"/>
      <w:lvlJc w:val="left"/>
      <w:pPr>
        <w:ind w:left="442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B3F6941C">
      <w:start w:val="1"/>
      <w:numFmt w:val="decimal"/>
      <w:lvlText w:val="%7"/>
      <w:lvlJc w:val="left"/>
      <w:pPr>
        <w:ind w:left="514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8CC4E028">
      <w:start w:val="1"/>
      <w:numFmt w:val="lowerLetter"/>
      <w:lvlText w:val="%8"/>
      <w:lvlJc w:val="left"/>
      <w:pPr>
        <w:ind w:left="586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190A166E">
      <w:start w:val="1"/>
      <w:numFmt w:val="lowerRoman"/>
      <w:lvlText w:val="%9"/>
      <w:lvlJc w:val="left"/>
      <w:pPr>
        <w:ind w:left="658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794924EF"/>
    <w:multiLevelType w:val="hybridMultilevel"/>
    <w:tmpl w:val="5C163A78"/>
    <w:lvl w:ilvl="0" w:tplc="723026D4">
      <w:start w:val="1"/>
      <w:numFmt w:val="decimal"/>
      <w:lvlText w:val="%1."/>
      <w:lvlJc w:val="left"/>
      <w:pPr>
        <w:ind w:left="12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DFD44D98">
      <w:start w:val="1"/>
      <w:numFmt w:val="lowerLetter"/>
      <w:lvlText w:val="%2"/>
      <w:lvlJc w:val="left"/>
      <w:pPr>
        <w:ind w:left="19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4B36B534">
      <w:start w:val="1"/>
      <w:numFmt w:val="lowerRoman"/>
      <w:lvlText w:val="%3"/>
      <w:lvlJc w:val="left"/>
      <w:pPr>
        <w:ind w:left="271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37E6F3A8">
      <w:start w:val="1"/>
      <w:numFmt w:val="decimal"/>
      <w:lvlText w:val="%4"/>
      <w:lvlJc w:val="left"/>
      <w:pPr>
        <w:ind w:left="34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19B464F0">
      <w:start w:val="1"/>
      <w:numFmt w:val="lowerLetter"/>
      <w:lvlText w:val="%5"/>
      <w:lvlJc w:val="left"/>
      <w:pPr>
        <w:ind w:left="41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C9B6EE8A">
      <w:start w:val="1"/>
      <w:numFmt w:val="lowerRoman"/>
      <w:lvlText w:val="%6"/>
      <w:lvlJc w:val="left"/>
      <w:pPr>
        <w:ind w:left="48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BE1EF590">
      <w:start w:val="1"/>
      <w:numFmt w:val="decimal"/>
      <w:lvlText w:val="%7"/>
      <w:lvlJc w:val="left"/>
      <w:pPr>
        <w:ind w:left="55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30B4B476">
      <w:start w:val="1"/>
      <w:numFmt w:val="lowerLetter"/>
      <w:lvlText w:val="%8"/>
      <w:lvlJc w:val="left"/>
      <w:pPr>
        <w:ind w:left="631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A7E477CC">
      <w:start w:val="1"/>
      <w:numFmt w:val="lowerRoman"/>
      <w:lvlText w:val="%9"/>
      <w:lvlJc w:val="left"/>
      <w:pPr>
        <w:ind w:left="70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52B"/>
    <w:rsid w:val="00346AA1"/>
    <w:rsid w:val="005023CC"/>
    <w:rsid w:val="005E092D"/>
    <w:rsid w:val="005E38B1"/>
    <w:rsid w:val="00646414"/>
    <w:rsid w:val="006E2133"/>
    <w:rsid w:val="007746B0"/>
    <w:rsid w:val="007C452B"/>
    <w:rsid w:val="0081634F"/>
    <w:rsid w:val="008926EB"/>
    <w:rsid w:val="00896700"/>
    <w:rsid w:val="008E4EB5"/>
    <w:rsid w:val="00BB49CB"/>
    <w:rsid w:val="00C95AE8"/>
    <w:rsid w:val="00FB7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40FFE"/>
  <w15:docId w15:val="{9F0D7FD0-2972-4A6A-8E78-15DC7C031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3" w:line="249" w:lineRule="auto"/>
      <w:ind w:left="471" w:hanging="370"/>
    </w:pPr>
    <w:rPr>
      <w:rFonts w:ascii="Verdana" w:eastAsia="Verdana" w:hAnsi="Verdana" w:cs="Verdana"/>
      <w:color w:val="000000"/>
      <w:sz w:val="20"/>
    </w:rPr>
  </w:style>
  <w:style w:type="paragraph" w:styleId="Heading1">
    <w:name w:val="heading 1"/>
    <w:next w:val="Normal"/>
    <w:link w:val="Heading1Char"/>
    <w:uiPriority w:val="9"/>
    <w:unhideWhenUsed/>
    <w:qFormat/>
    <w:pPr>
      <w:keepNext/>
      <w:keepLines/>
      <w:spacing w:after="12" w:line="250" w:lineRule="auto"/>
      <w:ind w:left="111" w:hanging="10"/>
      <w:outlineLvl w:val="0"/>
    </w:pPr>
    <w:rPr>
      <w:rFonts w:ascii="Verdana" w:eastAsia="Verdana" w:hAnsi="Verdana" w:cs="Verdana"/>
      <w:b/>
      <w:color w:val="0033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Verdana" w:eastAsia="Verdana" w:hAnsi="Verdana" w:cs="Verdana"/>
      <w:b/>
      <w:color w:val="00336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482</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Dane County</Company>
  <LinksUpToDate>false</LinksUpToDate>
  <CharactersWithSpaces>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 Phoua M</dc:creator>
  <cp:keywords/>
  <cp:lastModifiedBy>Kauss, Cortney</cp:lastModifiedBy>
  <cp:revision>10</cp:revision>
  <dcterms:created xsi:type="dcterms:W3CDTF">2021-11-22T17:38:00Z</dcterms:created>
  <dcterms:modified xsi:type="dcterms:W3CDTF">2021-11-23T21:34:00Z</dcterms:modified>
</cp:coreProperties>
</file>