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8C" w:rsidRDefault="00E3238C">
      <w:pPr>
        <w:spacing w:before="7"/>
        <w:rPr>
          <w:sz w:val="15"/>
        </w:rPr>
      </w:pPr>
    </w:p>
    <w:p w:rsidR="00E3238C" w:rsidRDefault="00671D70">
      <w:pPr>
        <w:pStyle w:val="BodyText"/>
        <w:spacing w:before="92"/>
        <w:ind w:left="400"/>
      </w:pPr>
      <w:r>
        <w:pict>
          <v:shape id="docshape2" o:spid="_x0000_s1026" style="position:absolute;left:0;text-align:left;margin-left:197.5pt;margin-top:53.4pt;width:526.2pt;height:25.2pt;z-index:-251658752;mso-position-horizontal-relative:page" coordorigin="3950,1068" coordsize="10524,504" path="m14474,1320r-304,l14170,1068r-10220,l3950,1320r,252l14474,1572r,-252xe" fillcolor="yellow" stroked="f">
            <v:path arrowok="t"/>
            <w10:wrap anchorx="page"/>
          </v:shape>
        </w:pict>
      </w:r>
      <w:r>
        <w:t xml:space="preserve">Capital Call </w:t>
      </w:r>
      <w:r>
        <w:t>Center</w:t>
      </w:r>
      <w:r>
        <w:rPr>
          <w:spacing w:val="-3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Queue</w:t>
      </w:r>
      <w:r>
        <w:rPr>
          <w:spacing w:val="-3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Queue</w:t>
      </w:r>
      <w:r>
        <w:rPr>
          <w:spacing w:val="-2"/>
        </w:rPr>
        <w:t xml:space="preserve"> </w:t>
      </w:r>
      <w:r>
        <w:t>Assignment</w:t>
      </w:r>
    </w:p>
    <w:p w:rsidR="00E3238C" w:rsidRDefault="00E3238C">
      <w:pPr>
        <w:pStyle w:val="BodyText"/>
        <w:spacing w:before="3"/>
        <w:rPr>
          <w:sz w:val="21"/>
        </w:rPr>
      </w:pPr>
    </w:p>
    <w:tbl>
      <w:tblPr>
        <w:tblW w:w="0" w:type="auto"/>
        <w:tblInd w:w="181" w:type="dxa"/>
        <w:tblBorders>
          <w:top w:val="single" w:sz="36" w:space="0" w:color="000B4A"/>
          <w:left w:val="single" w:sz="36" w:space="0" w:color="000B4A"/>
          <w:bottom w:val="single" w:sz="36" w:space="0" w:color="000B4A"/>
          <w:right w:val="single" w:sz="36" w:space="0" w:color="000B4A"/>
          <w:insideH w:val="single" w:sz="36" w:space="0" w:color="000B4A"/>
          <w:insideV w:val="single" w:sz="36" w:space="0" w:color="000B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164"/>
        <w:gridCol w:w="9612"/>
        <w:gridCol w:w="1114"/>
      </w:tblGrid>
      <w:tr w:rsidR="00E3238C">
        <w:trPr>
          <w:trHeight w:val="306"/>
        </w:trPr>
        <w:tc>
          <w:tcPr>
            <w:tcW w:w="13488" w:type="dxa"/>
            <w:gridSpan w:val="4"/>
            <w:tcBorders>
              <w:left w:val="single" w:sz="24" w:space="0" w:color="000B4A"/>
              <w:bottom w:val="single" w:sz="36" w:space="0" w:color="FFFFCC"/>
              <w:right w:val="single" w:sz="24" w:space="0" w:color="000B4A"/>
            </w:tcBorders>
            <w:shd w:val="clear" w:color="auto" w:fill="ECEFEF"/>
          </w:tcPr>
          <w:p w:rsidR="00E3238C" w:rsidRDefault="00671D70">
            <w:pPr>
              <w:pStyle w:val="TableParagraph"/>
              <w:spacing w:before="10" w:line="275" w:lineRule="exact"/>
              <w:ind w:left="5718" w:right="5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Descriptions</w:t>
            </w:r>
          </w:p>
        </w:tc>
      </w:tr>
      <w:tr w:rsidR="00E3238C" w:rsidTr="00671D70">
        <w:trPr>
          <w:trHeight w:val="2596"/>
        </w:trPr>
        <w:tc>
          <w:tcPr>
            <w:tcW w:w="2598" w:type="dxa"/>
            <w:tcBorders>
              <w:top w:val="single" w:sz="12" w:space="0" w:color="000B4A"/>
              <w:left w:val="single" w:sz="24" w:space="0" w:color="000B4A"/>
              <w:bottom w:val="single" w:sz="12" w:space="0" w:color="000B4A"/>
              <w:right w:val="single" w:sz="12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E3238C" w:rsidRDefault="00671D70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0890" w:type="dxa"/>
            <w:gridSpan w:val="3"/>
            <w:tcBorders>
              <w:top w:val="single" w:sz="36" w:space="0" w:color="FFFFCC"/>
              <w:left w:val="single" w:sz="12" w:space="0" w:color="000B4A"/>
              <w:bottom w:val="single" w:sz="48" w:space="0" w:color="FFFFCC"/>
            </w:tcBorders>
          </w:tcPr>
          <w:p w:rsidR="00E3238C" w:rsidRDefault="00671D70">
            <w:pPr>
              <w:pStyle w:val="TableParagraph"/>
              <w:spacing w:line="231" w:lineRule="exact"/>
              <w:ind w:left="145"/>
            </w:pPr>
            <w:r>
              <w:t>Child</w:t>
            </w:r>
            <w:r>
              <w:rPr>
                <w:spacing w:val="-1"/>
              </w:rPr>
              <w:t xml:space="preserve"> </w:t>
            </w:r>
            <w:r>
              <w:t>Care Queue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 upfront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 phone</w:t>
            </w:r>
            <w:r>
              <w:rPr>
                <w:spacing w:val="-2"/>
              </w:rPr>
              <w:t xml:space="preserve"> </w:t>
            </w:r>
            <w:r>
              <w:t>tree,</w:t>
            </w:r>
            <w:r>
              <w:rPr>
                <w:spacing w:val="-1"/>
              </w:rPr>
              <w:t xml:space="preserve"> </w:t>
            </w:r>
            <w:r>
              <w:t>customers are</w:t>
            </w:r>
            <w:r>
              <w:rPr>
                <w:spacing w:val="-2"/>
              </w:rPr>
              <w:t xml:space="preserve"> </w:t>
            </w:r>
            <w:r>
              <w:t>asked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3"/>
              </w:rPr>
              <w:t xml:space="preserve"> </w:t>
            </w:r>
            <w:r>
              <w:t>the number coinciding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E3238C" w:rsidRDefault="00671D70">
            <w:pPr>
              <w:pStyle w:val="TableParagraph"/>
              <w:ind w:left="145"/>
            </w:pPr>
            <w:r>
              <w:t>their county of residence. Each county staffs their relative queues.</w:t>
            </w:r>
            <w:r>
              <w:rPr>
                <w:spacing w:val="1"/>
              </w:rPr>
              <w:t xml:space="preserve"> </w:t>
            </w:r>
            <w:r>
              <w:t>Child Care applications, reviews, and authorizations</w:t>
            </w:r>
            <w:r>
              <w:rPr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must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be done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in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 county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residence.</w:t>
            </w:r>
          </w:p>
          <w:p w:rsidR="00E3238C" w:rsidRDefault="00E3238C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ind w:left="145" w:right="44"/>
            </w:pPr>
            <w:r>
              <w:rPr>
                <w:color w:val="000000"/>
                <w:shd w:val="clear" w:color="auto" w:fill="FFFF00"/>
              </w:rPr>
              <w:t>We will still exercise the First Contact Resolution approach. Staff will complete as much wo</w:t>
            </w:r>
            <w:r>
              <w:rPr>
                <w:color w:val="000000"/>
                <w:shd w:val="clear" w:color="auto" w:fill="FFFF00"/>
              </w:rPr>
              <w:t>rk as they can on the case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 program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their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expertise.</w:t>
            </w:r>
          </w:p>
          <w:p w:rsidR="00E3238C" w:rsidRDefault="00E3238C">
            <w:pPr>
              <w:pStyle w:val="TableParagraph"/>
              <w:rPr>
                <w:rFonts w:ascii="Arial"/>
                <w:b/>
              </w:rPr>
            </w:pPr>
          </w:p>
          <w:p w:rsidR="00E3238C" w:rsidRDefault="00671D70">
            <w:pPr>
              <w:pStyle w:val="TableParagraph"/>
              <w:spacing w:line="252" w:lineRule="exact"/>
              <w:ind w:left="145"/>
            </w:pPr>
            <w:r>
              <w:rPr>
                <w:color w:val="000000"/>
                <w:shd w:val="clear" w:color="auto" w:fill="FFFF00"/>
              </w:rPr>
              <w:t>CC callers will be transferred to the CC queue in the appropriate county.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All counties other than Dane have voicemail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attached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these queues.</w:t>
            </w:r>
          </w:p>
        </w:tc>
      </w:tr>
      <w:tr w:rsidR="00E3238C">
        <w:trPr>
          <w:trHeight w:val="1581"/>
        </w:trPr>
        <w:tc>
          <w:tcPr>
            <w:tcW w:w="2598" w:type="dxa"/>
            <w:vMerge w:val="restart"/>
            <w:tcBorders>
              <w:top w:val="single" w:sz="12" w:space="0" w:color="000B4A"/>
              <w:left w:val="single" w:sz="24" w:space="0" w:color="000B4A"/>
              <w:bottom w:val="single" w:sz="12" w:space="0" w:color="000B4A"/>
              <w:right w:val="single" w:sz="12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671D70">
            <w:pPr>
              <w:pStyle w:val="TableParagraph"/>
              <w:spacing w:before="17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EBD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64" w:type="dxa"/>
            <w:vMerge w:val="restart"/>
            <w:tcBorders>
              <w:top w:val="single" w:sz="12" w:space="0" w:color="000B4A"/>
              <w:left w:val="single" w:sz="12" w:space="0" w:color="000B4A"/>
              <w:bottom w:val="single" w:sz="12" w:space="0" w:color="000B4A"/>
              <w:right w:val="nil"/>
            </w:tcBorders>
            <w:shd w:val="clear" w:color="auto" w:fill="FFFFCC"/>
          </w:tcPr>
          <w:p w:rsidR="00E3238C" w:rsidRDefault="00E3238C">
            <w:pPr>
              <w:pStyle w:val="TableParagraph"/>
            </w:pPr>
          </w:p>
        </w:tc>
        <w:tc>
          <w:tcPr>
            <w:tcW w:w="10726" w:type="dxa"/>
            <w:gridSpan w:val="2"/>
            <w:tcBorders>
              <w:top w:val="single" w:sz="12" w:space="0" w:color="000B4A"/>
              <w:left w:val="nil"/>
              <w:bottom w:val="nil"/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line="230" w:lineRule="exact"/>
              <w:ind w:left="-4"/>
            </w:pPr>
            <w:r>
              <w:rPr>
                <w:color w:val="000000"/>
                <w:shd w:val="clear" w:color="auto" w:fill="FFFF00"/>
              </w:rPr>
              <w:t>EBD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workers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are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scheduled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on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call center everyday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with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2.5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hours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protected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time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as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standard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day.</w:t>
            </w:r>
          </w:p>
          <w:p w:rsidR="00E3238C" w:rsidRDefault="00E3238C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E3238C" w:rsidRDefault="00671D70">
            <w:pPr>
              <w:pStyle w:val="TableParagraph"/>
              <w:ind w:left="-4"/>
            </w:pPr>
            <w:r>
              <w:t>The EBD Queue is an upfront option from the phone call tree for customers to select from for EBD/</w:t>
            </w:r>
            <w:proofErr w:type="spellStart"/>
            <w:r>
              <w:t>FamilyCare</w:t>
            </w:r>
            <w:proofErr w:type="spellEnd"/>
            <w:r>
              <w:t>/Long</w:t>
            </w:r>
            <w:r>
              <w:rPr>
                <w:spacing w:val="-52"/>
              </w:rPr>
              <w:t xml:space="preserve"> </w:t>
            </w:r>
            <w:r>
              <w:t>Term Care questions and case processing.</w:t>
            </w:r>
            <w:r>
              <w:rPr>
                <w:spacing w:val="1"/>
              </w:rPr>
              <w:t xml:space="preserve"> </w:t>
            </w:r>
            <w:r>
              <w:t>We will still exercise the</w:t>
            </w:r>
            <w:r>
              <w:t xml:space="preserve"> First Contact Resolution approach. Staff will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as much work</w:t>
            </w:r>
            <w:r>
              <w:rPr>
                <w:spacing w:val="-3"/>
              </w:rPr>
              <w:t xml:space="preserve"> </w:t>
            </w:r>
            <w:r>
              <w:t>as 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case</w:t>
            </w:r>
            <w:r>
              <w:rPr>
                <w:spacing w:val="-3"/>
              </w:rPr>
              <w:t xml:space="preserve"> </w:t>
            </w:r>
            <w:r>
              <w:t>based on their programs expertise.</w:t>
            </w:r>
          </w:p>
        </w:tc>
      </w:tr>
      <w:tr w:rsidR="00E3238C" w:rsidTr="00671D70">
        <w:trPr>
          <w:trHeight w:val="424"/>
        </w:trPr>
        <w:tc>
          <w:tcPr>
            <w:tcW w:w="2598" w:type="dxa"/>
            <w:vMerge/>
            <w:tcBorders>
              <w:top w:val="nil"/>
              <w:left w:val="single" w:sz="24" w:space="0" w:color="000B4A"/>
              <w:bottom w:val="single" w:sz="12" w:space="0" w:color="000B4A"/>
              <w:right w:val="single" w:sz="12" w:space="0" w:color="000B4A"/>
            </w:tcBorders>
            <w:shd w:val="clear" w:color="auto" w:fill="B7DBFF"/>
          </w:tcPr>
          <w:p w:rsidR="00E3238C" w:rsidRDefault="00E3238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12" w:space="0" w:color="000B4A"/>
              <w:bottom w:val="single" w:sz="12" w:space="0" w:color="000B4A"/>
              <w:right w:val="nil"/>
            </w:tcBorders>
            <w:shd w:val="clear" w:color="auto" w:fill="FFFFCC"/>
          </w:tcPr>
          <w:p w:rsidR="00E3238C" w:rsidRDefault="00E3238C">
            <w:pPr>
              <w:rPr>
                <w:sz w:val="2"/>
                <w:szCs w:val="2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single" w:sz="24" w:space="0" w:color="FFFFCC"/>
              <w:right w:val="nil"/>
            </w:tcBorders>
          </w:tcPr>
          <w:p w:rsidR="00E3238C" w:rsidRDefault="00671D70">
            <w:pPr>
              <w:pStyle w:val="TableParagraph"/>
              <w:spacing w:line="217" w:lineRule="exact"/>
              <w:ind w:left="26" w:right="-44"/>
            </w:pPr>
            <w:r>
              <w:rPr>
                <w:color w:val="000000"/>
                <w:shd w:val="clear" w:color="auto" w:fill="FFFF00"/>
              </w:rPr>
              <w:t>Transfer to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 EBD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queue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only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if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is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absolutely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beyond your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knowledge of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expertise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 assist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customer.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000B4A"/>
              <w:right w:val="single" w:sz="24" w:space="0" w:color="000B4A"/>
            </w:tcBorders>
            <w:shd w:val="clear" w:color="auto" w:fill="FFFFCC"/>
          </w:tcPr>
          <w:p w:rsidR="00E3238C" w:rsidRDefault="00E3238C">
            <w:pPr>
              <w:pStyle w:val="TableParagraph"/>
              <w:rPr>
                <w:sz w:val="16"/>
              </w:rPr>
            </w:pPr>
          </w:p>
        </w:tc>
      </w:tr>
      <w:tr w:rsidR="00E3238C">
        <w:trPr>
          <w:trHeight w:val="1100"/>
        </w:trPr>
        <w:tc>
          <w:tcPr>
            <w:tcW w:w="2598" w:type="dxa"/>
            <w:tcBorders>
              <w:top w:val="single" w:sz="12" w:space="0" w:color="000B4A"/>
              <w:left w:val="single" w:sz="24" w:space="0" w:color="000B4A"/>
              <w:bottom w:val="single" w:sz="12" w:space="0" w:color="000B4A"/>
              <w:right w:val="single" w:sz="12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E3238C" w:rsidRDefault="00671D70">
            <w:pPr>
              <w:pStyle w:val="TableParagraph"/>
              <w:spacing w:before="1"/>
              <w:ind w:left="54" w:right="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FamilyCare</w:t>
            </w:r>
            <w:proofErr w:type="spellEnd"/>
            <w:r>
              <w:rPr>
                <w:b/>
                <w:sz w:val="24"/>
              </w:rPr>
              <w:t xml:space="preserve"> -Internal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0890" w:type="dxa"/>
            <w:gridSpan w:val="3"/>
            <w:tcBorders>
              <w:top w:val="single" w:sz="12" w:space="0" w:color="000B4A"/>
              <w:left w:val="single" w:sz="12" w:space="0" w:color="000B4A"/>
              <w:bottom w:val="single" w:sz="12" w:space="0" w:color="000B4A"/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25"/>
              <w:ind w:left="160"/>
            </w:pPr>
            <w:proofErr w:type="spellStart"/>
            <w:r>
              <w:t>FamilyCare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(FC) queue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internal queue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staffed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EBD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knowledgeable</w:t>
            </w:r>
            <w:r>
              <w:rPr>
                <w:spacing w:val="-3"/>
              </w:rPr>
              <w:t xml:space="preserve"> </w:t>
            </w:r>
            <w:r>
              <w:t>of FC</w:t>
            </w:r>
            <w:r>
              <w:rPr>
                <w:spacing w:val="-5"/>
              </w:rPr>
              <w:t xml:space="preserve"> </w:t>
            </w:r>
            <w:r>
              <w:t>program.</w:t>
            </w:r>
          </w:p>
          <w:p w:rsidR="00E3238C" w:rsidRDefault="00E3238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spacing w:before="1"/>
              <w:ind w:left="160" w:right="144"/>
            </w:pPr>
            <w:r>
              <w:t>General queue customers can be transfer to this internal FC queue once the worker determined the issue is specific to</w:t>
            </w:r>
            <w:r>
              <w:rPr>
                <w:spacing w:val="-52"/>
              </w:rPr>
              <w:t xml:space="preserve"> </w:t>
            </w:r>
            <w:r>
              <w:t>FC.</w:t>
            </w:r>
          </w:p>
        </w:tc>
      </w:tr>
      <w:tr w:rsidR="00E3238C">
        <w:trPr>
          <w:trHeight w:val="1350"/>
        </w:trPr>
        <w:tc>
          <w:tcPr>
            <w:tcW w:w="2598" w:type="dxa"/>
            <w:tcBorders>
              <w:top w:val="single" w:sz="12" w:space="0" w:color="000B4A"/>
              <w:left w:val="single" w:sz="24" w:space="0" w:color="000B4A"/>
              <w:bottom w:val="single" w:sz="12" w:space="0" w:color="000B4A"/>
              <w:right w:val="single" w:sz="12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E3238C" w:rsidRDefault="00671D70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LTC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0890" w:type="dxa"/>
            <w:gridSpan w:val="3"/>
            <w:tcBorders>
              <w:top w:val="single" w:sz="12" w:space="0" w:color="000B4A"/>
              <w:left w:val="single" w:sz="12" w:space="0" w:color="000B4A"/>
              <w:bottom w:val="single" w:sz="12" w:space="0" w:color="000B4A"/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22"/>
              <w:ind w:left="160"/>
            </w:pPr>
            <w:r>
              <w:t>The Long Term Care (LTC) queue is an internal queue that is staffed by the EBD workers who are knowledgeable of</w:t>
            </w:r>
            <w:r>
              <w:rPr>
                <w:spacing w:val="-52"/>
              </w:rPr>
              <w:t xml:space="preserve"> </w:t>
            </w:r>
            <w:r>
              <w:t>LTC</w:t>
            </w:r>
            <w:r>
              <w:rPr>
                <w:spacing w:val="-2"/>
              </w:rPr>
              <w:t xml:space="preserve"> </w:t>
            </w:r>
            <w:r>
              <w:t>program.</w:t>
            </w:r>
          </w:p>
          <w:p w:rsidR="00E3238C" w:rsidRDefault="00E3238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ind w:left="160" w:right="377"/>
            </w:pPr>
            <w:r>
              <w:t>LTC customers received in General queue can be transfer to this internal LTC queue once the worker determined the</w:t>
            </w:r>
            <w:r>
              <w:rPr>
                <w:spacing w:val="-52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is specific to LTC.</w:t>
            </w:r>
          </w:p>
        </w:tc>
      </w:tr>
      <w:tr w:rsidR="00E3238C">
        <w:trPr>
          <w:trHeight w:val="1352"/>
        </w:trPr>
        <w:tc>
          <w:tcPr>
            <w:tcW w:w="2598" w:type="dxa"/>
            <w:tcBorders>
              <w:top w:val="single" w:sz="12" w:space="0" w:color="000B4A"/>
              <w:left w:val="single" w:sz="24" w:space="0" w:color="000B4A"/>
              <w:bottom w:val="single" w:sz="12" w:space="0" w:color="000080"/>
              <w:right w:val="single" w:sz="12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E3238C" w:rsidRDefault="00671D70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0890" w:type="dxa"/>
            <w:gridSpan w:val="3"/>
            <w:tcBorders>
              <w:top w:val="single" w:sz="12" w:space="0" w:color="000B4A"/>
              <w:left w:val="single" w:sz="12" w:space="0" w:color="000B4A"/>
              <w:bottom w:val="single" w:sz="12" w:space="0" w:color="000080"/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24"/>
              <w:ind w:left="160"/>
            </w:pPr>
            <w:r>
              <w:rPr>
                <w:color w:val="000000"/>
                <w:shd w:val="clear" w:color="auto" w:fill="FFFF00"/>
              </w:rPr>
              <w:t>Family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workers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are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scheduled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on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call center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everyday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with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90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minutes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protected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time as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standard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day.</w:t>
            </w:r>
          </w:p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ind w:left="160"/>
            </w:pPr>
            <w:r>
              <w:t>General queue is for callers that didn’t choose a specific language or program as specified in the call tree. Most calls</w:t>
            </w:r>
            <w:r>
              <w:rPr>
                <w:spacing w:val="1"/>
              </w:rPr>
              <w:t xml:space="preserve"> </w:t>
            </w:r>
            <w:r>
              <w:t>should be from non-EBD households that are not calling about child care. Sometimes calls that should have gone to one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specialized</w:t>
            </w:r>
            <w:r>
              <w:rPr>
                <w:spacing w:val="-1"/>
              </w:rPr>
              <w:t xml:space="preserve"> </w:t>
            </w:r>
            <w:r>
              <w:t>queues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 queue.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instructions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occurs.</w:t>
            </w:r>
          </w:p>
        </w:tc>
      </w:tr>
    </w:tbl>
    <w:p w:rsidR="00E3238C" w:rsidRDefault="00E3238C">
      <w:pPr>
        <w:sectPr w:rsidR="00E3238C">
          <w:headerReference w:type="default" r:id="rId6"/>
          <w:type w:val="continuous"/>
          <w:pgSz w:w="15840" w:h="12240" w:orient="landscape"/>
          <w:pgMar w:top="1220" w:right="500" w:bottom="280" w:left="1040" w:header="760" w:footer="0" w:gutter="0"/>
          <w:pgNumType w:start="1"/>
          <w:cols w:space="720"/>
        </w:sectPr>
      </w:pPr>
    </w:p>
    <w:p w:rsidR="00E3238C" w:rsidRDefault="00E3238C">
      <w:pPr>
        <w:pStyle w:val="BodyText"/>
      </w:pPr>
    </w:p>
    <w:tbl>
      <w:tblPr>
        <w:tblW w:w="0" w:type="auto"/>
        <w:tblInd w:w="181" w:type="dxa"/>
        <w:tblBorders>
          <w:top w:val="single" w:sz="12" w:space="0" w:color="000B4A"/>
          <w:left w:val="single" w:sz="12" w:space="0" w:color="000B4A"/>
          <w:bottom w:val="single" w:sz="12" w:space="0" w:color="000B4A"/>
          <w:right w:val="single" w:sz="12" w:space="0" w:color="000B4A"/>
          <w:insideH w:val="single" w:sz="12" w:space="0" w:color="000B4A"/>
          <w:insideV w:val="single" w:sz="12" w:space="0" w:color="000B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10890"/>
      </w:tblGrid>
      <w:tr w:rsidR="00E3238C">
        <w:trPr>
          <w:trHeight w:val="2643"/>
        </w:trPr>
        <w:tc>
          <w:tcPr>
            <w:tcW w:w="2598" w:type="dxa"/>
            <w:tcBorders>
              <w:left w:val="single" w:sz="24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</w:pPr>
          </w:p>
        </w:tc>
        <w:tc>
          <w:tcPr>
            <w:tcW w:w="10890" w:type="dxa"/>
            <w:tcBorders>
              <w:right w:val="single" w:sz="24" w:space="0" w:color="000B4A"/>
            </w:tcBorders>
            <w:shd w:val="clear" w:color="auto" w:fill="FFFFCC"/>
          </w:tcPr>
          <w:p w:rsidR="00E3238C" w:rsidRDefault="00E3238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ind w:left="160" w:right="144"/>
            </w:pPr>
            <w:r>
              <w:t>If a Child Care or EBD/FC/LTC call does happen to come through the general queue, we will still exercise the First</w:t>
            </w:r>
            <w:r>
              <w:rPr>
                <w:spacing w:val="-52"/>
              </w:rPr>
              <w:t xml:space="preserve"> </w:t>
            </w:r>
            <w:r>
              <w:t>Contact Resolution approach. Staff will complete as much work as they can on the case for the program of thei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expertise.</w:t>
            </w:r>
          </w:p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ind w:left="160"/>
            </w:pPr>
            <w:r>
              <w:t>Child Care applications, reviews, and authorizations must be done in the county of residence.</w:t>
            </w:r>
            <w:r>
              <w:rPr>
                <w:spacing w:val="1"/>
              </w:rPr>
              <w:t xml:space="preserve"> </w:t>
            </w:r>
            <w:r>
              <w:t>CC callers will be</w:t>
            </w:r>
            <w:r>
              <w:rPr>
                <w:spacing w:val="-52"/>
              </w:rPr>
              <w:t xml:space="preserve"> </w:t>
            </w:r>
            <w:r>
              <w:t>transferred</w:t>
            </w:r>
            <w:r>
              <w:rPr>
                <w:spacing w:val="-4"/>
              </w:rPr>
              <w:t xml:space="preserve"> </w:t>
            </w:r>
            <w:r>
              <w:t>to the CC</w:t>
            </w:r>
            <w:r>
              <w:rPr>
                <w:spacing w:val="-1"/>
              </w:rPr>
              <w:t xml:space="preserve"> </w:t>
            </w:r>
            <w:r>
              <w:t>queue</w:t>
            </w:r>
            <w:r>
              <w:rPr>
                <w:spacing w:val="-2"/>
              </w:rPr>
              <w:t xml:space="preserve"> </w:t>
            </w:r>
            <w:r>
              <w:t>in the appropriate county.</w:t>
            </w:r>
          </w:p>
          <w:p w:rsidR="00E3238C" w:rsidRDefault="00E3238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ind w:left="160"/>
            </w:pPr>
            <w:r>
              <w:t>EBD/FC/LTC callers received in General queue, once determined the issue is specific to EBD/FC/LTC beyond their</w:t>
            </w:r>
            <w:r>
              <w:rPr>
                <w:spacing w:val="-52"/>
              </w:rPr>
              <w:t xml:space="preserve"> </w:t>
            </w:r>
            <w:r>
              <w:t>expertise,</w:t>
            </w:r>
            <w:r>
              <w:rPr>
                <w:spacing w:val="-4"/>
              </w:rPr>
              <w:t xml:space="preserve"> </w:t>
            </w:r>
            <w:r>
              <w:t>caller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 transferred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appropriate EBD/FC/LTC</w:t>
            </w:r>
            <w:r>
              <w:rPr>
                <w:spacing w:val="-1"/>
              </w:rPr>
              <w:t xml:space="preserve"> </w:t>
            </w:r>
            <w:r>
              <w:t>queue.</w:t>
            </w:r>
          </w:p>
        </w:tc>
      </w:tr>
      <w:tr w:rsidR="00E3238C">
        <w:trPr>
          <w:trHeight w:val="1352"/>
        </w:trPr>
        <w:tc>
          <w:tcPr>
            <w:tcW w:w="2598" w:type="dxa"/>
            <w:tcBorders>
              <w:left w:val="single" w:sz="24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E3238C" w:rsidRDefault="00671D70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Spanish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0890" w:type="dxa"/>
            <w:tcBorders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24"/>
              <w:ind w:left="160" w:right="144"/>
            </w:pPr>
            <w:r>
              <w:t>The Spanish queue is an upfront option from the phone</w:t>
            </w:r>
            <w:r>
              <w:t xml:space="preserve"> call tree for Spanish speaking customers to select from to do</w:t>
            </w:r>
            <w:r>
              <w:rPr>
                <w:spacing w:val="-52"/>
              </w:rPr>
              <w:t xml:space="preserve"> </w:t>
            </w:r>
            <w:r>
              <w:t>their IM related business with us.</w:t>
            </w:r>
          </w:p>
          <w:p w:rsidR="00E3238C" w:rsidRDefault="00E3238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E3238C" w:rsidRDefault="00671D70" w:rsidP="00671D70">
            <w:pPr>
              <w:pStyle w:val="TableParagraph"/>
              <w:ind w:left="160"/>
            </w:pPr>
            <w:r>
              <w:t>CCC</w:t>
            </w:r>
            <w:r>
              <w:t xml:space="preserve"> workers from the General queues can transfer Spanish speaking callers into the Spanish queue for assistance in</w:t>
            </w:r>
            <w:r>
              <w:rPr>
                <w:spacing w:val="-52"/>
              </w:rPr>
              <w:t xml:space="preserve"> </w:t>
            </w:r>
            <w:r>
              <w:t>Spanish</w:t>
            </w:r>
            <w:r>
              <w:rPr>
                <w:spacing w:val="-1"/>
              </w:rPr>
              <w:t xml:space="preserve"> </w:t>
            </w:r>
            <w:r>
              <w:t>language.</w:t>
            </w:r>
          </w:p>
        </w:tc>
      </w:tr>
      <w:tr w:rsidR="00E3238C">
        <w:trPr>
          <w:trHeight w:val="1365"/>
        </w:trPr>
        <w:tc>
          <w:tcPr>
            <w:tcW w:w="2598" w:type="dxa"/>
            <w:tcBorders>
              <w:left w:val="single" w:sz="24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E3238C" w:rsidRDefault="00671D70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Hmong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0890" w:type="dxa"/>
            <w:tcBorders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22"/>
              <w:ind w:left="160"/>
            </w:pPr>
            <w:r>
              <w:t>The Hmong queue is an upfront option from the phone call tree for Hmong speaking customers to select from to do their</w:t>
            </w:r>
            <w:r>
              <w:rPr>
                <w:spacing w:val="-52"/>
              </w:rPr>
              <w:t xml:space="preserve"> </w:t>
            </w:r>
            <w:r>
              <w:t>IM</w:t>
            </w:r>
            <w:r>
              <w:rPr>
                <w:spacing w:val="-1"/>
              </w:rPr>
              <w:t xml:space="preserve"> </w:t>
            </w:r>
            <w:r>
              <w:t>related business with us.</w:t>
            </w:r>
          </w:p>
          <w:p w:rsidR="00E3238C" w:rsidRDefault="00E3238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E3238C" w:rsidRDefault="00671D70" w:rsidP="00671D70">
            <w:pPr>
              <w:pStyle w:val="TableParagraph"/>
              <w:ind w:left="160" w:right="468"/>
            </w:pPr>
            <w:r>
              <w:t>CCC</w:t>
            </w:r>
            <w:r>
              <w:t xml:space="preserve"> workers from the General queues can transfer Hmong speaking callers into the Hmong queue for assistance in</w:t>
            </w:r>
            <w:r>
              <w:rPr>
                <w:spacing w:val="-52"/>
              </w:rPr>
              <w:t xml:space="preserve"> </w:t>
            </w:r>
            <w:r>
              <w:t>Hmong</w:t>
            </w:r>
            <w:r>
              <w:rPr>
                <w:spacing w:val="-4"/>
              </w:rPr>
              <w:t xml:space="preserve"> </w:t>
            </w:r>
            <w:r>
              <w:t>language.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Hmong</w:t>
            </w:r>
            <w:r>
              <w:rPr>
                <w:spacing w:val="-3"/>
              </w:rPr>
              <w:t xml:space="preserve"> </w:t>
            </w:r>
            <w:r>
              <w:t>queue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voicemail</w:t>
            </w:r>
            <w:r>
              <w:rPr>
                <w:spacing w:val="-3"/>
              </w:rPr>
              <w:t xml:space="preserve"> </w:t>
            </w:r>
            <w:r>
              <w:t>attached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queue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callers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waited</w:t>
            </w:r>
            <w:r>
              <w:rPr>
                <w:spacing w:val="-1"/>
              </w:rPr>
              <w:t xml:space="preserve"> </w:t>
            </w:r>
            <w:r>
              <w:t>too long.</w:t>
            </w:r>
          </w:p>
        </w:tc>
      </w:tr>
      <w:tr w:rsidR="00E3238C">
        <w:trPr>
          <w:trHeight w:val="1851"/>
        </w:trPr>
        <w:tc>
          <w:tcPr>
            <w:tcW w:w="2598" w:type="dxa"/>
            <w:tcBorders>
              <w:left w:val="single" w:sz="24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E3238C" w:rsidRDefault="00671D70">
            <w:pPr>
              <w:pStyle w:val="TableParagraph"/>
              <w:ind w:left="54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Helpline (Internal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Queue)</w:t>
            </w:r>
          </w:p>
        </w:tc>
        <w:tc>
          <w:tcPr>
            <w:tcW w:w="10890" w:type="dxa"/>
            <w:tcBorders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7"/>
              <w:ind w:left="160" w:right="109"/>
              <w:jc w:val="both"/>
            </w:pPr>
            <w:r>
              <w:rPr>
                <w:color w:val="000000"/>
                <w:sz w:val="24"/>
                <w:shd w:val="clear" w:color="auto" w:fill="FFFF00"/>
              </w:rPr>
              <w:t>Help Queue is staffed by Capital lead workers and occasionally Capital supervisors.</w:t>
            </w:r>
            <w:r>
              <w:rPr>
                <w:color w:val="000000"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Helpline is open from 8:00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AM – 4:00 PM to assist staff on policy, system and case processing issues and to take on escalated customers.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Helpline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open from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4:00 – 4:30 P</w:t>
            </w:r>
            <w:r>
              <w:rPr>
                <w:color w:val="000000"/>
                <w:shd w:val="clear" w:color="auto" w:fill="FFFF00"/>
              </w:rPr>
              <w:t>M for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escalated customers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only.</w:t>
            </w:r>
          </w:p>
          <w:p w:rsidR="00E3238C" w:rsidRDefault="00E3238C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E3238C" w:rsidRDefault="00671D70" w:rsidP="00671D70">
            <w:pPr>
              <w:pStyle w:val="TableParagraph"/>
              <w:ind w:left="160" w:right="144"/>
            </w:pPr>
            <w:r>
              <w:rPr>
                <w:color w:val="000000"/>
                <w:shd w:val="clear" w:color="auto" w:fill="FFFF00"/>
              </w:rPr>
              <w:t>Customers should not be transferred directly to the Help Queue. Customers are to be transferred only if the Help Queue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 xml:space="preserve">lead worker specifically instructs the worker to do so. </w:t>
            </w:r>
          </w:p>
        </w:tc>
      </w:tr>
      <w:tr w:rsidR="00E3238C">
        <w:trPr>
          <w:trHeight w:val="1620"/>
        </w:trPr>
        <w:tc>
          <w:tcPr>
            <w:tcW w:w="2598" w:type="dxa"/>
            <w:tcBorders>
              <w:left w:val="single" w:sz="24" w:space="0" w:color="000B4A"/>
              <w:bottom w:val="single" w:sz="24" w:space="0" w:color="000B4A"/>
            </w:tcBorders>
            <w:shd w:val="clear" w:color="auto" w:fill="B7DBFF"/>
          </w:tcPr>
          <w:p w:rsidR="00E3238C" w:rsidRDefault="00E323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3238C" w:rsidRDefault="00E3238C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:rsidR="00E3238C" w:rsidRDefault="00671D70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Translation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</w:tc>
        <w:tc>
          <w:tcPr>
            <w:tcW w:w="10890" w:type="dxa"/>
            <w:tcBorders>
              <w:bottom w:val="single" w:sz="24" w:space="0" w:color="000B4A"/>
              <w:right w:val="single" w:sz="24" w:space="0" w:color="000B4A"/>
            </w:tcBorders>
            <w:shd w:val="clear" w:color="auto" w:fill="FFFFCC"/>
          </w:tcPr>
          <w:p w:rsidR="00E3238C" w:rsidRDefault="00671D70">
            <w:pPr>
              <w:pStyle w:val="TableParagraph"/>
              <w:spacing w:before="37"/>
              <w:ind w:left="160"/>
            </w:pPr>
            <w:r>
              <w:t>The Translation queue is an upfront option from the phone call tree for customers who speak a language other than</w:t>
            </w:r>
            <w:r>
              <w:rPr>
                <w:spacing w:val="1"/>
              </w:rPr>
              <w:t xml:space="preserve"> </w:t>
            </w:r>
            <w:r>
              <w:t>Hmong or Spanish to select from for their IM related business with us. DO NOT transfer any callers from any queue into</w:t>
            </w:r>
            <w:r>
              <w:rPr>
                <w:spacing w:val="-52"/>
              </w:rPr>
              <w:t xml:space="preserve"> </w:t>
            </w:r>
            <w:r>
              <w:t xml:space="preserve">this </w:t>
            </w:r>
            <w:r>
              <w:t>queue.</w:t>
            </w:r>
          </w:p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E3238C" w:rsidRDefault="00671D70" w:rsidP="00671D70">
            <w:pPr>
              <w:pStyle w:val="TableParagraph"/>
              <w:spacing w:before="1"/>
              <w:ind w:left="160" w:right="144"/>
            </w:pPr>
            <w:r>
              <w:t>Dane CCC</w:t>
            </w:r>
            <w:r>
              <w:t xml:space="preserve"> workers are scheduled to take calls from this queue.</w:t>
            </w:r>
            <w:r>
              <w:rPr>
                <w:spacing w:val="1"/>
              </w:rPr>
              <w:t xml:space="preserve"> </w:t>
            </w:r>
            <w:r>
              <w:t>CCC</w:t>
            </w:r>
            <w:r>
              <w:t xml:space="preserve"> workers in this queue will do everything one-</w:t>
            </w:r>
            <w:r>
              <w:rPr>
                <w:spacing w:val="-52"/>
              </w:rPr>
              <w:t xml:space="preserve"> </w:t>
            </w:r>
            <w:r>
              <w:t>touch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connecting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3-way</w:t>
            </w:r>
            <w:r>
              <w:rPr>
                <w:spacing w:val="-3"/>
              </w:rPr>
              <w:t xml:space="preserve"> </w:t>
            </w:r>
            <w:r>
              <w:t>call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Language 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customer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resolve</w:t>
            </w:r>
            <w:r>
              <w:rPr>
                <w:spacing w:val="-2"/>
              </w:rPr>
              <w:t xml:space="preserve"> </w:t>
            </w:r>
            <w:r>
              <w:t>the caller’s</w:t>
            </w:r>
            <w:r>
              <w:rPr>
                <w:spacing w:val="-2"/>
              </w:rPr>
              <w:t xml:space="preserve"> </w:t>
            </w:r>
            <w:r>
              <w:t>need.</w:t>
            </w:r>
          </w:p>
        </w:tc>
      </w:tr>
    </w:tbl>
    <w:p w:rsidR="00E3238C" w:rsidRDefault="00E3238C">
      <w:pPr>
        <w:sectPr w:rsidR="00E3238C">
          <w:pgSz w:w="15840" w:h="12240" w:orient="landscape"/>
          <w:pgMar w:top="1220" w:right="500" w:bottom="280" w:left="1040" w:header="760" w:footer="0" w:gutter="0"/>
          <w:cols w:space="720"/>
        </w:sectPr>
      </w:pPr>
    </w:p>
    <w:p w:rsidR="00E3238C" w:rsidRDefault="00E3238C">
      <w:pPr>
        <w:pStyle w:val="BodyText"/>
        <w:rPr>
          <w:sz w:val="20"/>
        </w:rPr>
      </w:pPr>
    </w:p>
    <w:p w:rsidR="00E3238C" w:rsidRDefault="00E3238C">
      <w:pPr>
        <w:pStyle w:val="BodyText"/>
        <w:rPr>
          <w:sz w:val="20"/>
        </w:rPr>
      </w:pPr>
    </w:p>
    <w:p w:rsidR="00E3238C" w:rsidRDefault="00E3238C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02"/>
        <w:gridCol w:w="1078"/>
        <w:gridCol w:w="1236"/>
        <w:gridCol w:w="869"/>
        <w:gridCol w:w="905"/>
        <w:gridCol w:w="816"/>
        <w:gridCol w:w="1231"/>
        <w:gridCol w:w="1200"/>
        <w:gridCol w:w="1217"/>
        <w:gridCol w:w="955"/>
        <w:gridCol w:w="955"/>
      </w:tblGrid>
      <w:tr w:rsidR="00E3238C">
        <w:trPr>
          <w:trHeight w:val="299"/>
        </w:trPr>
        <w:tc>
          <w:tcPr>
            <w:tcW w:w="14084" w:type="dxa"/>
            <w:gridSpan w:val="12"/>
            <w:shd w:val="clear" w:color="auto" w:fill="DADADA"/>
          </w:tcPr>
          <w:p w:rsidR="00E3238C" w:rsidRDefault="00671D70">
            <w:pPr>
              <w:pStyle w:val="TableParagraph"/>
              <w:spacing w:before="28" w:line="252" w:lineRule="exact"/>
              <w:ind w:left="4232" w:right="42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Dane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Worker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 -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CCC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Queue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Assignment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Worker</w:t>
            </w:r>
          </w:p>
        </w:tc>
      </w:tr>
      <w:tr w:rsidR="00E3238C">
        <w:trPr>
          <w:trHeight w:val="806"/>
        </w:trPr>
        <w:tc>
          <w:tcPr>
            <w:tcW w:w="2520" w:type="dxa"/>
            <w:shd w:val="clear" w:color="auto" w:fill="DADADA"/>
          </w:tcPr>
          <w:p w:rsidR="00E3238C" w:rsidRDefault="00E3238C">
            <w:pPr>
              <w:pStyle w:val="TableParagraph"/>
              <w:rPr>
                <w:rFonts w:ascii="Arial"/>
                <w:b/>
              </w:rPr>
            </w:pPr>
          </w:p>
          <w:p w:rsidR="00E3238C" w:rsidRDefault="00E3238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Staff</w:t>
            </w:r>
          </w:p>
        </w:tc>
        <w:tc>
          <w:tcPr>
            <w:tcW w:w="1102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7" w:right="259"/>
              <w:rPr>
                <w:rFonts w:ascii="Calibri"/>
              </w:rPr>
            </w:pP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1078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7" w:right="91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1"/>
              </w:rPr>
              <w:t>ChildCare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Dane</w:t>
            </w:r>
          </w:p>
        </w:tc>
        <w:tc>
          <w:tcPr>
            <w:tcW w:w="1236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7" w:right="96"/>
              <w:rPr>
                <w:rFonts w:ascii="Calibri"/>
              </w:rPr>
            </w:pPr>
            <w:r>
              <w:rPr>
                <w:rFonts w:ascii="Calibri"/>
              </w:rPr>
              <w:t>Translation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869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85"/>
              <w:rPr>
                <w:rFonts w:ascii="Calibri"/>
              </w:rPr>
            </w:pPr>
            <w:r>
              <w:rPr>
                <w:rFonts w:ascii="Calibri"/>
              </w:rPr>
              <w:t>Hmong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905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79"/>
              <w:rPr>
                <w:rFonts w:ascii="Calibri"/>
              </w:rPr>
            </w:pPr>
            <w:r>
              <w:rPr>
                <w:rFonts w:ascii="Calibri"/>
              </w:rPr>
              <w:t>Spanish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816" w:type="dxa"/>
            <w:shd w:val="clear" w:color="auto" w:fill="DADADA"/>
          </w:tcPr>
          <w:p w:rsidR="00E3238C" w:rsidRDefault="00E3238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E3238C" w:rsidRDefault="00671D7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EBD</w:t>
            </w:r>
          </w:p>
          <w:p w:rsidR="00E3238C" w:rsidRDefault="00671D70">
            <w:pPr>
              <w:pStyle w:val="TableParagraph"/>
              <w:spacing w:line="25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Queue</w:t>
            </w:r>
          </w:p>
        </w:tc>
        <w:tc>
          <w:tcPr>
            <w:tcW w:w="1231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10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FamilyCare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1200" w:type="dxa"/>
            <w:shd w:val="clear" w:color="auto" w:fill="DADADA"/>
          </w:tcPr>
          <w:p w:rsidR="00E3238C" w:rsidRDefault="00671D70">
            <w:pPr>
              <w:pStyle w:val="TableParagraph"/>
              <w:ind w:left="106" w:right="122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Long </w:t>
            </w:r>
            <w:r>
              <w:rPr>
                <w:rFonts w:ascii="Calibri"/>
              </w:rPr>
              <w:t>Term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(LTC)</w:t>
            </w:r>
          </w:p>
          <w:p w:rsidR="00E3238C" w:rsidRDefault="00671D70">
            <w:pPr>
              <w:pStyle w:val="TableParagraph"/>
              <w:spacing w:line="25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Queue</w:t>
            </w:r>
          </w:p>
        </w:tc>
        <w:tc>
          <w:tcPr>
            <w:tcW w:w="1217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167"/>
              <w:rPr>
                <w:rFonts w:ascii="Calibri"/>
              </w:rPr>
            </w:pPr>
            <w:r>
              <w:rPr>
                <w:rFonts w:ascii="Calibri"/>
              </w:rPr>
              <w:t>Provider-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Jail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955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80"/>
              <w:rPr>
                <w:rFonts w:ascii="Calibri"/>
              </w:rPr>
            </w:pPr>
            <w:r>
              <w:rPr>
                <w:rFonts w:ascii="Calibri"/>
              </w:rPr>
              <w:t>Helpline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Other</w:t>
            </w:r>
          </w:p>
        </w:tc>
        <w:tc>
          <w:tcPr>
            <w:tcW w:w="955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80"/>
              <w:rPr>
                <w:rFonts w:ascii="Calibri"/>
              </w:rPr>
            </w:pPr>
            <w:r>
              <w:rPr>
                <w:rFonts w:ascii="Calibri"/>
              </w:rPr>
              <w:t>Helpline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EBD</w:t>
            </w:r>
          </w:p>
        </w:tc>
      </w:tr>
      <w:tr w:rsidR="00E3238C">
        <w:trPr>
          <w:trHeight w:val="299"/>
        </w:trPr>
        <w:tc>
          <w:tcPr>
            <w:tcW w:w="2520" w:type="dxa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EBD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078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</w:tcPr>
          <w:p w:rsidR="00E3238C" w:rsidRDefault="00671D70">
            <w:pPr>
              <w:pStyle w:val="TableParagraph"/>
              <w:spacing w:before="28" w:line="252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1" w:type="dxa"/>
          </w:tcPr>
          <w:p w:rsidR="00E3238C" w:rsidRDefault="00671D70">
            <w:pPr>
              <w:pStyle w:val="TableParagraph"/>
              <w:spacing w:before="28" w:line="252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00" w:type="dxa"/>
          </w:tcPr>
          <w:p w:rsidR="00E3238C" w:rsidRDefault="00671D70">
            <w:pPr>
              <w:pStyle w:val="TableParagraph"/>
              <w:spacing w:before="28" w:line="252" w:lineRule="exact"/>
              <w:ind w:right="5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17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491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78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6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69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Hmong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</w:tcPr>
          <w:p w:rsidR="00E3238C" w:rsidRDefault="00671D70">
            <w:pPr>
              <w:pStyle w:val="TableParagraph"/>
              <w:spacing w:before="28" w:line="252" w:lineRule="exact"/>
              <w:ind w:left="491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78" w:type="dxa"/>
          </w:tcPr>
          <w:p w:rsidR="00E3238C" w:rsidRDefault="00671D7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</w:tcPr>
          <w:p w:rsidR="00E3238C" w:rsidRDefault="00671D70">
            <w:pPr>
              <w:pStyle w:val="TableParagraph"/>
              <w:spacing w:before="28" w:line="252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90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Spanish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491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78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  <w:shd w:val="clear" w:color="auto" w:fill="F2DCDB"/>
          </w:tcPr>
          <w:p w:rsidR="00E3238C" w:rsidRDefault="00671D70">
            <w:pPr>
              <w:pStyle w:val="TableParagraph"/>
              <w:spacing w:before="28" w:line="25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1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OCL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(on-call-lobby)</w:t>
            </w:r>
          </w:p>
        </w:tc>
        <w:tc>
          <w:tcPr>
            <w:tcW w:w="1102" w:type="dxa"/>
          </w:tcPr>
          <w:p w:rsidR="00E3238C" w:rsidRDefault="00671D70">
            <w:pPr>
              <w:pStyle w:val="TableParagraph"/>
              <w:spacing w:before="28" w:line="252" w:lineRule="exact"/>
              <w:ind w:left="491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78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301"/>
        </w:trPr>
        <w:tc>
          <w:tcPr>
            <w:tcW w:w="2520" w:type="dxa"/>
            <w:shd w:val="clear" w:color="auto" w:fill="F2DCDB"/>
          </w:tcPr>
          <w:p w:rsidR="00E3238C" w:rsidRDefault="00671D70">
            <w:pPr>
              <w:pStyle w:val="TableParagraph"/>
              <w:spacing w:before="30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Jail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Queue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078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  <w:shd w:val="clear" w:color="auto" w:fill="F2DCDB"/>
          </w:tcPr>
          <w:p w:rsidR="00E3238C" w:rsidRDefault="00671D70">
            <w:pPr>
              <w:pStyle w:val="TableParagraph"/>
              <w:spacing w:before="30" w:line="252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078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671D70">
            <w:pPr>
              <w:pStyle w:val="TableParagraph"/>
              <w:spacing w:before="28" w:line="252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955" w:type="dxa"/>
          </w:tcPr>
          <w:p w:rsidR="00E3238C" w:rsidRDefault="00671D70">
            <w:pPr>
              <w:pStyle w:val="TableParagraph"/>
              <w:spacing w:before="28" w:line="252" w:lineRule="exact"/>
              <w:ind w:right="4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</w:tr>
      <w:tr w:rsidR="00E3238C">
        <w:trPr>
          <w:trHeight w:val="299"/>
        </w:trPr>
        <w:tc>
          <w:tcPr>
            <w:tcW w:w="2520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102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078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F2DCDB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14084" w:type="dxa"/>
            <w:gridSpan w:val="12"/>
            <w:shd w:val="clear" w:color="auto" w:fill="DADADA"/>
          </w:tcPr>
          <w:p w:rsidR="00E3238C" w:rsidRDefault="00671D70">
            <w:pPr>
              <w:pStyle w:val="TableParagraph"/>
              <w:spacing w:before="28" w:line="252" w:lineRule="exact"/>
              <w:ind w:left="4232" w:right="42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Partner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County Workers -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CCC</w:t>
            </w:r>
            <w:bookmarkStart w:id="0" w:name="_GoBack"/>
            <w:bookmarkEnd w:id="0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Queue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Assignment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Worker</w:t>
            </w:r>
          </w:p>
        </w:tc>
      </w:tr>
      <w:tr w:rsidR="00E3238C">
        <w:trPr>
          <w:trHeight w:val="805"/>
        </w:trPr>
        <w:tc>
          <w:tcPr>
            <w:tcW w:w="2520" w:type="dxa"/>
            <w:shd w:val="clear" w:color="auto" w:fill="DADADA"/>
          </w:tcPr>
          <w:p w:rsidR="00E3238C" w:rsidRDefault="00E3238C">
            <w:pPr>
              <w:pStyle w:val="TableParagraph"/>
              <w:rPr>
                <w:rFonts w:ascii="Arial"/>
                <w:b/>
              </w:rPr>
            </w:pPr>
          </w:p>
          <w:p w:rsidR="00E3238C" w:rsidRDefault="00E3238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Staff</w:t>
            </w:r>
          </w:p>
        </w:tc>
        <w:tc>
          <w:tcPr>
            <w:tcW w:w="1102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7" w:right="259"/>
              <w:rPr>
                <w:rFonts w:ascii="Calibri"/>
              </w:rPr>
            </w:pP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1078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7" w:right="91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1"/>
              </w:rPr>
              <w:t>ChildCare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Partner</w:t>
            </w:r>
          </w:p>
        </w:tc>
        <w:tc>
          <w:tcPr>
            <w:tcW w:w="1236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7" w:right="96"/>
              <w:rPr>
                <w:rFonts w:ascii="Calibri"/>
              </w:rPr>
            </w:pPr>
            <w:r>
              <w:rPr>
                <w:rFonts w:ascii="Calibri"/>
              </w:rPr>
              <w:t>Translation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869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85"/>
              <w:rPr>
                <w:rFonts w:ascii="Calibri"/>
              </w:rPr>
            </w:pPr>
            <w:r>
              <w:rPr>
                <w:rFonts w:ascii="Calibri"/>
              </w:rPr>
              <w:t>Hmong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905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79"/>
              <w:rPr>
                <w:rFonts w:ascii="Calibri"/>
              </w:rPr>
            </w:pPr>
            <w:r>
              <w:rPr>
                <w:rFonts w:ascii="Calibri"/>
              </w:rPr>
              <w:t>Spanish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816" w:type="dxa"/>
            <w:shd w:val="clear" w:color="auto" w:fill="DADADA"/>
          </w:tcPr>
          <w:p w:rsidR="00E3238C" w:rsidRDefault="00E3238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E3238C" w:rsidRDefault="00671D7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EBD</w:t>
            </w:r>
          </w:p>
          <w:p w:rsidR="00E3238C" w:rsidRDefault="00671D70">
            <w:pPr>
              <w:pStyle w:val="TableParagraph"/>
              <w:spacing w:line="25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Queue</w:t>
            </w:r>
          </w:p>
        </w:tc>
        <w:tc>
          <w:tcPr>
            <w:tcW w:w="1231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10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FamilyCare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Queue</w:t>
            </w:r>
          </w:p>
        </w:tc>
        <w:tc>
          <w:tcPr>
            <w:tcW w:w="1200" w:type="dxa"/>
            <w:shd w:val="clear" w:color="auto" w:fill="DADADA"/>
          </w:tcPr>
          <w:p w:rsidR="00E3238C" w:rsidRDefault="00671D70">
            <w:pPr>
              <w:pStyle w:val="TableParagraph"/>
              <w:ind w:left="106" w:right="122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Long </w:t>
            </w:r>
            <w:r>
              <w:rPr>
                <w:rFonts w:ascii="Calibri"/>
              </w:rPr>
              <w:t>Term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(LTC)</w:t>
            </w:r>
          </w:p>
          <w:p w:rsidR="00E3238C" w:rsidRDefault="00671D70">
            <w:pPr>
              <w:pStyle w:val="TableParagraph"/>
              <w:spacing w:line="25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Queue</w:t>
            </w:r>
          </w:p>
        </w:tc>
        <w:tc>
          <w:tcPr>
            <w:tcW w:w="1217" w:type="dxa"/>
            <w:shd w:val="clear" w:color="auto" w:fill="DADADA"/>
          </w:tcPr>
          <w:p w:rsidR="00E3238C" w:rsidRDefault="00E3238C">
            <w:pPr>
              <w:pStyle w:val="TableParagraph"/>
              <w:rPr>
                <w:rFonts w:ascii="Arial"/>
                <w:b/>
              </w:rPr>
            </w:pPr>
          </w:p>
          <w:p w:rsidR="00E3238C" w:rsidRDefault="00E3238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E3238C" w:rsidRDefault="00671D70">
            <w:pPr>
              <w:pStyle w:val="TableParagraph"/>
              <w:spacing w:line="252" w:lineRule="exact"/>
              <w:ind w:left="408" w:right="4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955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80"/>
              <w:rPr>
                <w:rFonts w:ascii="Calibri"/>
              </w:rPr>
            </w:pPr>
            <w:r>
              <w:rPr>
                <w:rFonts w:ascii="Calibri"/>
              </w:rPr>
              <w:t>Helpline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Other</w:t>
            </w:r>
          </w:p>
        </w:tc>
        <w:tc>
          <w:tcPr>
            <w:tcW w:w="955" w:type="dxa"/>
            <w:shd w:val="clear" w:color="auto" w:fill="DADADA"/>
          </w:tcPr>
          <w:p w:rsidR="00E3238C" w:rsidRDefault="00E3238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3238C" w:rsidRDefault="00671D70">
            <w:pPr>
              <w:pStyle w:val="TableParagraph"/>
              <w:spacing w:line="270" w:lineRule="atLeast"/>
              <w:ind w:left="106" w:right="80"/>
              <w:rPr>
                <w:rFonts w:ascii="Calibri"/>
              </w:rPr>
            </w:pPr>
            <w:r>
              <w:rPr>
                <w:rFonts w:ascii="Calibri"/>
              </w:rPr>
              <w:t>Helpline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EBD</w:t>
            </w:r>
          </w:p>
        </w:tc>
      </w:tr>
      <w:tr w:rsidR="00E3238C">
        <w:trPr>
          <w:trHeight w:val="299"/>
        </w:trPr>
        <w:tc>
          <w:tcPr>
            <w:tcW w:w="2520" w:type="dxa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EBD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078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</w:tcPr>
          <w:p w:rsidR="00E3238C" w:rsidRDefault="00671D70">
            <w:pPr>
              <w:pStyle w:val="TableParagraph"/>
              <w:spacing w:before="28" w:line="252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1" w:type="dxa"/>
          </w:tcPr>
          <w:p w:rsidR="00E3238C" w:rsidRDefault="00671D70">
            <w:pPr>
              <w:pStyle w:val="TableParagraph"/>
              <w:spacing w:before="28" w:line="252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00" w:type="dxa"/>
          </w:tcPr>
          <w:p w:rsidR="00E3238C" w:rsidRDefault="00671D70">
            <w:pPr>
              <w:pStyle w:val="TableParagraph"/>
              <w:spacing w:before="28" w:line="252" w:lineRule="exact"/>
              <w:ind w:right="5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17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  <w:shd w:val="clear" w:color="auto" w:fill="D8E4BC"/>
          </w:tcPr>
          <w:p w:rsidR="00E3238C" w:rsidRDefault="00671D70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  <w:shd w:val="clear" w:color="auto" w:fill="D8E4BC"/>
          </w:tcPr>
          <w:p w:rsidR="00E3238C" w:rsidRDefault="00671D70">
            <w:pPr>
              <w:pStyle w:val="TableParagraph"/>
              <w:spacing w:before="28" w:line="252" w:lineRule="exact"/>
              <w:ind w:left="491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78" w:type="dxa"/>
            <w:shd w:val="clear" w:color="auto" w:fill="D8E4BC"/>
          </w:tcPr>
          <w:p w:rsidR="00E3238C" w:rsidRDefault="00671D7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6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299"/>
        </w:trPr>
        <w:tc>
          <w:tcPr>
            <w:tcW w:w="2520" w:type="dxa"/>
          </w:tcPr>
          <w:p w:rsidR="00E3238C" w:rsidRDefault="00671D70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Spanish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</w:tcPr>
          <w:p w:rsidR="00E3238C" w:rsidRDefault="00671D70">
            <w:pPr>
              <w:pStyle w:val="TableParagraph"/>
              <w:spacing w:before="30" w:line="249" w:lineRule="exact"/>
              <w:ind w:left="491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78" w:type="dxa"/>
          </w:tcPr>
          <w:p w:rsidR="00E3238C" w:rsidRDefault="00671D70">
            <w:pPr>
              <w:pStyle w:val="TableParagraph"/>
              <w:spacing w:before="30" w:line="249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23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</w:tcPr>
          <w:p w:rsidR="00E3238C" w:rsidRDefault="00671D70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16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</w:tcPr>
          <w:p w:rsidR="00E3238C" w:rsidRDefault="00E3238C">
            <w:pPr>
              <w:pStyle w:val="TableParagraph"/>
            </w:pPr>
          </w:p>
        </w:tc>
      </w:tr>
      <w:tr w:rsidR="00E3238C">
        <w:trPr>
          <w:trHeight w:val="302"/>
        </w:trPr>
        <w:tc>
          <w:tcPr>
            <w:tcW w:w="2520" w:type="dxa"/>
            <w:shd w:val="clear" w:color="auto" w:fill="D8E4BC"/>
          </w:tcPr>
          <w:p w:rsidR="00E3238C" w:rsidRDefault="00671D70">
            <w:pPr>
              <w:pStyle w:val="TableParagraph"/>
              <w:spacing w:before="30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  <w:tc>
          <w:tcPr>
            <w:tcW w:w="1102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078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36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869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905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816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31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00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1217" w:type="dxa"/>
            <w:shd w:val="clear" w:color="auto" w:fill="D8E4BC"/>
          </w:tcPr>
          <w:p w:rsidR="00E3238C" w:rsidRDefault="00E3238C">
            <w:pPr>
              <w:pStyle w:val="TableParagraph"/>
            </w:pPr>
          </w:p>
        </w:tc>
        <w:tc>
          <w:tcPr>
            <w:tcW w:w="955" w:type="dxa"/>
            <w:shd w:val="clear" w:color="auto" w:fill="D8E4BC"/>
          </w:tcPr>
          <w:p w:rsidR="00E3238C" w:rsidRDefault="00671D70">
            <w:pPr>
              <w:pStyle w:val="TableParagraph"/>
              <w:spacing w:before="30" w:line="252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955" w:type="dxa"/>
            <w:shd w:val="clear" w:color="auto" w:fill="D8E4BC"/>
          </w:tcPr>
          <w:p w:rsidR="00E3238C" w:rsidRDefault="00671D70">
            <w:pPr>
              <w:pStyle w:val="TableParagraph"/>
              <w:spacing w:before="30" w:line="252" w:lineRule="exact"/>
              <w:ind w:right="4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</w:tr>
    </w:tbl>
    <w:p w:rsidR="00000000" w:rsidRDefault="00671D70"/>
    <w:sectPr w:rsidR="00000000">
      <w:pgSz w:w="15840" w:h="12240" w:orient="landscape"/>
      <w:pgMar w:top="1220" w:right="500" w:bottom="280" w:left="104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D70">
      <w:r>
        <w:separator/>
      </w:r>
    </w:p>
  </w:endnote>
  <w:endnote w:type="continuationSeparator" w:id="0">
    <w:p w:rsidR="00000000" w:rsidRDefault="0067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D70">
      <w:r>
        <w:separator/>
      </w:r>
    </w:p>
  </w:footnote>
  <w:footnote w:type="continuationSeparator" w:id="0">
    <w:p w:rsidR="00000000" w:rsidRDefault="0067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8C" w:rsidRDefault="00671D70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01.05pt;margin-top:37pt;width:120pt;height:25.35pt;z-index:-251658752;mso-position-horizontal-relative:page;mso-position-vertical-relative:page" filled="f" stroked="f">
          <v:textbox inset="0,0,0,0">
            <w:txbxContent>
              <w:p w:rsidR="00E3238C" w:rsidRDefault="00671D70">
                <w:pPr>
                  <w:spacing w:line="222" w:lineRule="exact"/>
                  <w:ind w:right="20"/>
                  <w:jc w:val="righ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4F81BD"/>
                    <w:sz w:val="20"/>
                  </w:rPr>
                  <w:t>Updated:</w:t>
                </w:r>
                <w:r>
                  <w:rPr>
                    <w:rFonts w:ascii="Calibri"/>
                    <w:color w:val="4F81BD"/>
                    <w:spacing w:val="29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F81BD"/>
                    <w:sz w:val="20"/>
                  </w:rPr>
                  <w:t>10/23/2019</w:t>
                </w:r>
              </w:p>
              <w:p w:rsidR="00E3238C" w:rsidRDefault="00671D70">
                <w:pPr>
                  <w:spacing w:line="268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  <w:color w:val="4F81BD"/>
                  </w:rPr>
                  <w:t>Effective</w:t>
                </w:r>
                <w:r>
                  <w:rPr>
                    <w:rFonts w:ascii="Calibri"/>
                    <w:color w:val="4F81BD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4F81BD"/>
                  </w:rPr>
                  <w:t>Date:</w:t>
                </w:r>
                <w:r>
                  <w:rPr>
                    <w:rFonts w:ascii="Calibri"/>
                    <w:color w:val="4F81BD"/>
                    <w:spacing w:val="42"/>
                  </w:rPr>
                  <w:t xml:space="preserve"> </w:t>
                </w:r>
                <w:r>
                  <w:rPr>
                    <w:rFonts w:ascii="Calibri"/>
                    <w:color w:val="4F81BD"/>
                  </w:rPr>
                  <w:t>11/4/2019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3238C"/>
    <w:rsid w:val="00671D70"/>
    <w:rsid w:val="00E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4DAA54"/>
  <w15:docId w15:val="{9D9F5ECD-5344-44ED-BC18-8B7A9A7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Company>Dane County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Date:  11/4/2019</dc:title>
  <dc:creator>Updated:  10/23/2019</dc:creator>
  <cp:lastModifiedBy>Chorlton, Adam</cp:lastModifiedBy>
  <cp:revision>2</cp:revision>
  <dcterms:created xsi:type="dcterms:W3CDTF">2021-12-22T21:34:00Z</dcterms:created>
  <dcterms:modified xsi:type="dcterms:W3CDTF">2021-12-22T21:38:00Z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2021-12-22T00:00:00Z</vt:filetime>
  </property>
</Properties>
</file>